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59E" w:rsidRDefault="00820D1B" w:rsidP="00125538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Bibliography</w:t>
      </w:r>
    </w:p>
    <w:p w:rsidR="007A3BD2" w:rsidRDefault="006452F0" w:rsidP="00125538">
      <w:pPr>
        <w:keepNext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Monograph</w:t>
      </w:r>
      <w:r w:rsidR="00820D1B">
        <w:rPr>
          <w:rFonts w:asciiTheme="majorBidi" w:hAnsiTheme="majorBidi" w:cstheme="majorBidi"/>
          <w:b/>
          <w:bCs/>
          <w:sz w:val="24"/>
          <w:szCs w:val="24"/>
        </w:rPr>
        <w:t>s</w:t>
      </w:r>
    </w:p>
    <w:p w:rsidR="00C85585" w:rsidRDefault="006D7930" w:rsidP="0012553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Eisag</w:t>
      </w: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>ōgē tu nom</w:t>
      </w:r>
      <w:r w:rsidR="00C85585">
        <w:rPr>
          <w:rFonts w:asciiTheme="majorBidi" w:hAnsiTheme="majorBidi" w:cstheme="majorBidi"/>
          <w:sz w:val="24"/>
          <w:szCs w:val="24"/>
        </w:rPr>
        <w:t>u</w:t>
      </w:r>
      <w:r w:rsidR="00BE6B14">
        <w:rPr>
          <w:rFonts w:asciiTheme="majorBidi" w:hAnsiTheme="majorBidi" w:cstheme="majorBidi"/>
          <w:sz w:val="24"/>
          <w:szCs w:val="24"/>
        </w:rPr>
        <w:t>:</w:t>
      </w:r>
      <w:r w:rsidR="00C85585">
        <w:rPr>
          <w:rFonts w:asciiTheme="majorBidi" w:hAnsiTheme="majorBidi" w:cstheme="majorBidi"/>
          <w:sz w:val="24"/>
          <w:szCs w:val="24"/>
        </w:rPr>
        <w:t xml:space="preserve"> Kritische Edition eines mittelbyzantinischen </w:t>
      </w:r>
      <w:r w:rsidR="007B2496">
        <w:rPr>
          <w:rFonts w:asciiTheme="majorBidi" w:hAnsiTheme="majorBidi" w:cstheme="majorBidi"/>
          <w:sz w:val="24"/>
          <w:szCs w:val="24"/>
        </w:rPr>
        <w:t>Gesetzbuchs und seiner Scholien (</w:t>
      </w:r>
      <w:r w:rsidR="00820D1B">
        <w:rPr>
          <w:rFonts w:asciiTheme="majorBidi" w:hAnsiTheme="majorBidi" w:cstheme="majorBidi"/>
          <w:sz w:val="24"/>
          <w:szCs w:val="24"/>
        </w:rPr>
        <w:t>unpublished habilitation thesis</w:t>
      </w:r>
      <w:r w:rsidR="00125538">
        <w:rPr>
          <w:rFonts w:asciiTheme="majorBidi" w:hAnsiTheme="majorBidi" w:cstheme="majorBidi"/>
          <w:sz w:val="24"/>
          <w:szCs w:val="24"/>
        </w:rPr>
        <w:t>, Munich 2024</w:t>
      </w:r>
      <w:r w:rsidR="007B2496">
        <w:rPr>
          <w:rFonts w:asciiTheme="majorBidi" w:hAnsiTheme="majorBidi" w:cstheme="majorBidi"/>
          <w:sz w:val="24"/>
          <w:szCs w:val="24"/>
        </w:rPr>
        <w:t>)</w:t>
      </w:r>
    </w:p>
    <w:p w:rsidR="00E53C41" w:rsidRDefault="00E53C41" w:rsidP="0012553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Zusammenkünfte byzantinischer Kaiser mit fremden Herrschern (395–1204)</w:t>
      </w:r>
      <w:r w:rsidR="007B2496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Vorbereitung, Gestaltung, Funktionen</w:t>
      </w:r>
      <w:r w:rsidR="00BE6B14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2 </w:t>
      </w:r>
      <w:r w:rsidR="007B2496">
        <w:rPr>
          <w:rFonts w:asciiTheme="majorBidi" w:hAnsiTheme="majorBidi" w:cstheme="majorBidi"/>
          <w:sz w:val="24"/>
          <w:szCs w:val="24"/>
        </w:rPr>
        <w:t>vols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="007B2496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Byzantinistische Studien und Texte, 8</w:t>
      </w:r>
      <w:r w:rsidR="007B2496">
        <w:rPr>
          <w:rFonts w:asciiTheme="majorBidi" w:hAnsiTheme="majorBidi" w:cstheme="majorBidi"/>
          <w:sz w:val="24"/>
          <w:szCs w:val="24"/>
        </w:rPr>
        <w:t>),</w:t>
      </w:r>
      <w:r>
        <w:rPr>
          <w:rFonts w:asciiTheme="majorBidi" w:hAnsiTheme="majorBidi" w:cstheme="majorBidi"/>
          <w:sz w:val="24"/>
          <w:szCs w:val="24"/>
        </w:rPr>
        <w:t xml:space="preserve"> Berlin</w:t>
      </w:r>
      <w:r w:rsidR="007B2496">
        <w:rPr>
          <w:rFonts w:asciiTheme="majorBidi" w:hAnsiTheme="majorBidi" w:cstheme="majorBidi"/>
          <w:sz w:val="24"/>
          <w:szCs w:val="24"/>
        </w:rPr>
        <w:t xml:space="preserve"> 2021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7A3BD2" w:rsidRDefault="007A3BD2" w:rsidP="00125538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F39A0" w:rsidRDefault="00820D1B" w:rsidP="00125538">
      <w:pPr>
        <w:keepNext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Edited Volumes</w:t>
      </w:r>
    </w:p>
    <w:p w:rsidR="00125538" w:rsidRDefault="009F39A0" w:rsidP="00125538">
      <w:pPr>
        <w:spacing w:after="0"/>
      </w:pPr>
      <w:r>
        <w:rPr>
          <w:rFonts w:asciiTheme="majorBidi" w:hAnsiTheme="majorBidi" w:cstheme="majorBidi"/>
          <w:sz w:val="24"/>
          <w:szCs w:val="24"/>
        </w:rPr>
        <w:t>Byzanz am Rhein</w:t>
      </w:r>
      <w:r w:rsidR="007B2496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Festschrift für Günter Prinzing anlässlich seines 80. Geburtstags </w:t>
      </w:r>
      <w:r w:rsidR="007B2496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Mainzer Veröffentlichungen zur Byzantinistik, 18</w:t>
      </w:r>
      <w:r w:rsidR="007B2496">
        <w:rPr>
          <w:rFonts w:asciiTheme="majorBidi" w:hAnsiTheme="majorBidi" w:cstheme="majorBidi"/>
          <w:sz w:val="24"/>
          <w:szCs w:val="24"/>
        </w:rPr>
        <w:t>),</w:t>
      </w:r>
      <w:r>
        <w:rPr>
          <w:rFonts w:asciiTheme="majorBidi" w:hAnsiTheme="majorBidi" w:cstheme="majorBidi"/>
          <w:sz w:val="24"/>
          <w:szCs w:val="24"/>
        </w:rPr>
        <w:t xml:space="preserve"> Wiesbaden</w:t>
      </w:r>
      <w:r w:rsidR="00820D1B">
        <w:rPr>
          <w:rFonts w:asciiTheme="majorBidi" w:hAnsiTheme="majorBidi" w:cstheme="majorBidi"/>
          <w:sz w:val="24"/>
          <w:szCs w:val="24"/>
        </w:rPr>
        <w:t xml:space="preserve"> 2024</w:t>
      </w:r>
      <w:r w:rsidR="00820D1B" w:rsidRPr="00820D1B">
        <w:rPr>
          <w:rFonts w:asciiTheme="majorBidi" w:hAnsiTheme="majorBidi" w:cstheme="majorBidi"/>
          <w:sz w:val="24"/>
          <w:szCs w:val="24"/>
        </w:rPr>
        <w:t xml:space="preserve"> </w:t>
      </w:r>
      <w:r w:rsidR="00820D1B">
        <w:rPr>
          <w:rFonts w:asciiTheme="majorBidi" w:hAnsiTheme="majorBidi" w:cstheme="majorBidi"/>
          <w:sz w:val="24"/>
          <w:szCs w:val="24"/>
        </w:rPr>
        <w:t>(together with A. Bosselmann-Ruickbie</w:t>
      </w:r>
      <w:r w:rsidR="00820D1B">
        <w:rPr>
          <w:rFonts w:asciiTheme="majorBidi" w:hAnsiTheme="majorBidi" w:cstheme="majorBidi"/>
          <w:sz w:val="24"/>
          <w:szCs w:val="24"/>
        </w:rPr>
        <w:t>,</w:t>
      </w:r>
      <w:r w:rsidR="00820D1B">
        <w:rPr>
          <w:rFonts w:asciiTheme="majorBidi" w:hAnsiTheme="majorBidi" w:cstheme="majorBidi"/>
          <w:sz w:val="24"/>
          <w:szCs w:val="24"/>
        </w:rPr>
        <w:t xml:space="preserve"> Z. Chitwood</w:t>
      </w:r>
      <w:r w:rsidR="00820D1B">
        <w:rPr>
          <w:rFonts w:asciiTheme="majorBidi" w:hAnsiTheme="majorBidi" w:cstheme="majorBidi"/>
          <w:sz w:val="24"/>
          <w:szCs w:val="24"/>
        </w:rPr>
        <w:t>, and</w:t>
      </w:r>
      <w:r w:rsidR="00820D1B">
        <w:rPr>
          <w:rFonts w:asciiTheme="majorBidi" w:hAnsiTheme="majorBidi" w:cstheme="majorBidi"/>
          <w:sz w:val="24"/>
          <w:szCs w:val="24"/>
        </w:rPr>
        <w:t xml:space="preserve"> J. Pahlitzsch).</w:t>
      </w:r>
    </w:p>
    <w:p w:rsidR="009F39A0" w:rsidRDefault="00125538" w:rsidP="00125538">
      <w:pPr>
        <w:rPr>
          <w:rFonts w:asciiTheme="majorBidi" w:hAnsiTheme="majorBidi" w:cstheme="majorBidi"/>
          <w:sz w:val="24"/>
          <w:szCs w:val="24"/>
        </w:rPr>
      </w:pPr>
      <w:hyperlink r:id="rId4" w:history="1">
        <w:r w:rsidRPr="00A1084B">
          <w:rPr>
            <w:rStyle w:val="Hyperlink"/>
            <w:rFonts w:asciiTheme="majorBidi" w:hAnsiTheme="majorBidi" w:cstheme="majorBidi"/>
            <w:sz w:val="24"/>
            <w:szCs w:val="24"/>
          </w:rPr>
          <w:t>https://doi.org/10.2307/jj.30522624</w:t>
        </w:r>
      </w:hyperlink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9F39A0" w:rsidRDefault="009F39A0" w:rsidP="0012553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Anekdota Byzantina</w:t>
      </w:r>
      <w:r w:rsidR="007B2496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Studien zur byzantinischen Geschichte und Kultur</w:t>
      </w:r>
      <w:r w:rsidR="007B2496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Festschrift für Albrecht Berger anlässlich seines 65. Geburtstags </w:t>
      </w:r>
      <w:r w:rsidR="007B2496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Byz</w:t>
      </w:r>
      <w:r w:rsidR="007B2496">
        <w:rPr>
          <w:rFonts w:asciiTheme="majorBidi" w:hAnsiTheme="majorBidi" w:cstheme="majorBidi"/>
          <w:sz w:val="24"/>
          <w:szCs w:val="24"/>
        </w:rPr>
        <w:t>antinisches Archiv, 41), Berlin/</w:t>
      </w:r>
      <w:r>
        <w:rPr>
          <w:rFonts w:asciiTheme="majorBidi" w:hAnsiTheme="majorBidi" w:cstheme="majorBidi"/>
          <w:sz w:val="24"/>
          <w:szCs w:val="24"/>
        </w:rPr>
        <w:t>Boston</w:t>
      </w:r>
      <w:r w:rsidR="007B2496">
        <w:rPr>
          <w:rFonts w:asciiTheme="majorBidi" w:hAnsiTheme="majorBidi" w:cstheme="majorBidi"/>
          <w:sz w:val="24"/>
          <w:szCs w:val="24"/>
        </w:rPr>
        <w:t xml:space="preserve"> 2023</w:t>
      </w:r>
      <w:r w:rsidR="00820D1B">
        <w:rPr>
          <w:rFonts w:asciiTheme="majorBidi" w:hAnsiTheme="majorBidi" w:cstheme="majorBidi"/>
          <w:sz w:val="24"/>
          <w:szCs w:val="24"/>
        </w:rPr>
        <w:t xml:space="preserve"> (together with </w:t>
      </w:r>
      <w:r w:rsidR="00820D1B">
        <w:rPr>
          <w:rFonts w:asciiTheme="majorBidi" w:hAnsiTheme="majorBidi" w:cstheme="majorBidi"/>
          <w:sz w:val="24"/>
          <w:szCs w:val="24"/>
        </w:rPr>
        <w:t>I. Grimm-Stadelmann</w:t>
      </w:r>
      <w:r w:rsidR="00820D1B">
        <w:rPr>
          <w:rFonts w:asciiTheme="majorBidi" w:hAnsiTheme="majorBidi" w:cstheme="majorBidi"/>
          <w:sz w:val="24"/>
          <w:szCs w:val="24"/>
        </w:rPr>
        <w:t>,</w:t>
      </w:r>
      <w:r w:rsidR="00820D1B">
        <w:rPr>
          <w:rFonts w:asciiTheme="majorBidi" w:hAnsiTheme="majorBidi" w:cstheme="majorBidi"/>
          <w:sz w:val="24"/>
          <w:szCs w:val="24"/>
        </w:rPr>
        <w:t xml:space="preserve"> A. Riehle</w:t>
      </w:r>
      <w:r w:rsidR="00820D1B">
        <w:rPr>
          <w:rFonts w:asciiTheme="majorBidi" w:hAnsiTheme="majorBidi" w:cstheme="majorBidi"/>
          <w:sz w:val="24"/>
          <w:szCs w:val="24"/>
        </w:rPr>
        <w:t>, and</w:t>
      </w:r>
      <w:r w:rsidR="00820D1B">
        <w:rPr>
          <w:rFonts w:asciiTheme="majorBidi" w:hAnsiTheme="majorBidi" w:cstheme="majorBidi"/>
          <w:sz w:val="24"/>
          <w:szCs w:val="24"/>
        </w:rPr>
        <w:t xml:space="preserve"> R. Tocci</w:t>
      </w:r>
      <w:r w:rsidR="00125538">
        <w:rPr>
          <w:rFonts w:asciiTheme="majorBidi" w:hAnsiTheme="majorBidi" w:cstheme="majorBidi"/>
          <w:sz w:val="24"/>
          <w:szCs w:val="24"/>
        </w:rPr>
        <w:t>)</w:t>
      </w:r>
      <w:r w:rsidR="007B2496">
        <w:rPr>
          <w:rFonts w:asciiTheme="majorBidi" w:hAnsiTheme="majorBidi" w:cstheme="majorBidi"/>
          <w:sz w:val="24"/>
          <w:szCs w:val="24"/>
        </w:rPr>
        <w:t>.</w:t>
      </w:r>
      <w:r w:rsidR="00125538">
        <w:rPr>
          <w:rFonts w:asciiTheme="majorBidi" w:hAnsiTheme="majorBidi" w:cstheme="majorBidi"/>
          <w:sz w:val="24"/>
          <w:szCs w:val="24"/>
        </w:rPr>
        <w:t xml:space="preserve"> </w:t>
      </w:r>
      <w:r w:rsidR="00125538" w:rsidRPr="00125538">
        <w:t xml:space="preserve"> </w:t>
      </w:r>
      <w:hyperlink r:id="rId5" w:history="1">
        <w:r w:rsidR="00125538" w:rsidRPr="00A1084B">
          <w:rPr>
            <w:rStyle w:val="Hyperlink"/>
            <w:rFonts w:asciiTheme="majorBidi" w:hAnsiTheme="majorBidi" w:cstheme="majorBidi"/>
            <w:sz w:val="24"/>
            <w:szCs w:val="24"/>
          </w:rPr>
          <w:t>https://doi.org/10.1515/9783111070315</w:t>
        </w:r>
      </w:hyperlink>
      <w:r w:rsidR="00125538">
        <w:rPr>
          <w:rFonts w:asciiTheme="majorBidi" w:hAnsiTheme="majorBidi" w:cstheme="majorBidi"/>
          <w:sz w:val="24"/>
          <w:szCs w:val="24"/>
        </w:rPr>
        <w:t xml:space="preserve"> </w:t>
      </w:r>
    </w:p>
    <w:p w:rsidR="009F39A0" w:rsidRDefault="009F39A0" w:rsidP="0012553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Häfen als Orte der Repräsentation in Antike und Mittelalter</w:t>
      </w:r>
      <w:r w:rsidR="007B2496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Workshop im Rahmen des DFG-Schwerpunktprogramms „Häfen von der Römischen Kaiserzeit bis zum Mittelalter“ im Römisch-Germanischen Zentralmuseum, Leibniz-Forschungsinstitut für Archäologie, Mainz, 28.–29. Mai 2015 </w:t>
      </w:r>
      <w:r w:rsidR="007B2496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RGZM-Tagungen, 43 </w:t>
      </w:r>
      <w:r w:rsidR="007B2496">
        <w:rPr>
          <w:rFonts w:asciiTheme="majorBidi" w:hAnsiTheme="majorBidi" w:cstheme="majorBidi"/>
          <w:sz w:val="24"/>
          <w:szCs w:val="24"/>
        </w:rPr>
        <w:t>=</w:t>
      </w:r>
      <w:r>
        <w:rPr>
          <w:rFonts w:asciiTheme="majorBidi" w:hAnsiTheme="majorBidi" w:cstheme="majorBidi"/>
          <w:sz w:val="24"/>
          <w:szCs w:val="24"/>
        </w:rPr>
        <w:t xml:space="preserve"> Interdisziplinäre Forschungen zu den Häfen von der Römischen Kaiserzeit bis zum Mittelalter in Europa, 8</w:t>
      </w:r>
      <w:r w:rsidR="007B2496">
        <w:rPr>
          <w:rFonts w:asciiTheme="majorBidi" w:hAnsiTheme="majorBidi" w:cstheme="majorBidi"/>
          <w:sz w:val="24"/>
          <w:szCs w:val="24"/>
        </w:rPr>
        <w:t>),</w:t>
      </w:r>
      <w:r>
        <w:rPr>
          <w:rFonts w:asciiTheme="majorBidi" w:hAnsiTheme="majorBidi" w:cstheme="majorBidi"/>
          <w:sz w:val="24"/>
          <w:szCs w:val="24"/>
        </w:rPr>
        <w:t xml:space="preserve"> Mainz</w:t>
      </w:r>
      <w:r w:rsidR="007B2496">
        <w:rPr>
          <w:rFonts w:asciiTheme="majorBidi" w:hAnsiTheme="majorBidi" w:cstheme="majorBidi"/>
          <w:sz w:val="24"/>
          <w:szCs w:val="24"/>
        </w:rPr>
        <w:t xml:space="preserve"> 2020</w:t>
      </w:r>
      <w:r w:rsidR="00820D1B">
        <w:rPr>
          <w:rFonts w:asciiTheme="majorBidi" w:hAnsiTheme="majorBidi" w:cstheme="majorBidi"/>
          <w:sz w:val="24"/>
          <w:szCs w:val="24"/>
        </w:rPr>
        <w:t xml:space="preserve"> (together with </w:t>
      </w:r>
      <w:r w:rsidR="00820D1B">
        <w:rPr>
          <w:rFonts w:asciiTheme="majorBidi" w:hAnsiTheme="majorBidi" w:cstheme="majorBidi"/>
          <w:sz w:val="24"/>
          <w:szCs w:val="24"/>
        </w:rPr>
        <w:t xml:space="preserve">M. Koçak </w:t>
      </w:r>
      <w:r w:rsidR="00820D1B">
        <w:rPr>
          <w:rFonts w:asciiTheme="majorBidi" w:hAnsiTheme="majorBidi" w:cstheme="majorBidi"/>
          <w:sz w:val="24"/>
          <w:szCs w:val="24"/>
        </w:rPr>
        <w:t>and</w:t>
      </w:r>
      <w:r w:rsidR="00820D1B">
        <w:rPr>
          <w:rFonts w:asciiTheme="majorBidi" w:hAnsiTheme="majorBidi" w:cstheme="majorBidi"/>
          <w:sz w:val="24"/>
          <w:szCs w:val="24"/>
        </w:rPr>
        <w:t xml:space="preserve"> Th. Schmidts</w:t>
      </w:r>
      <w:r w:rsidR="00820D1B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9F39A0" w:rsidRDefault="009F39A0" w:rsidP="00125538">
      <w:pPr>
        <w:rPr>
          <w:rFonts w:asciiTheme="majorBidi" w:hAnsiTheme="majorBidi" w:cstheme="majorBidi"/>
          <w:sz w:val="24"/>
          <w:szCs w:val="24"/>
        </w:rPr>
      </w:pPr>
      <w:r w:rsidRPr="00E53C41">
        <w:rPr>
          <w:rFonts w:asciiTheme="majorBidi" w:hAnsiTheme="majorBidi" w:cstheme="majorBidi"/>
          <w:sz w:val="24"/>
          <w:szCs w:val="24"/>
        </w:rPr>
        <w:t>Häfen im 1. Millennium AD</w:t>
      </w:r>
      <w:r w:rsidR="007B2496">
        <w:rPr>
          <w:rFonts w:asciiTheme="majorBidi" w:hAnsiTheme="majorBidi" w:cstheme="majorBidi"/>
          <w:sz w:val="24"/>
          <w:szCs w:val="24"/>
        </w:rPr>
        <w:t>:</w:t>
      </w:r>
      <w:r w:rsidRPr="00E53C41">
        <w:rPr>
          <w:rFonts w:asciiTheme="majorBidi" w:hAnsiTheme="majorBidi" w:cstheme="majorBidi"/>
          <w:sz w:val="24"/>
          <w:szCs w:val="24"/>
        </w:rPr>
        <w:t xml:space="preserve"> Bauliche Konzepte, herrschaftliche und religiöse Einflüsse</w:t>
      </w:r>
      <w:r w:rsidR="0038309A">
        <w:rPr>
          <w:rFonts w:asciiTheme="majorBidi" w:hAnsiTheme="majorBidi" w:cstheme="majorBidi"/>
          <w:sz w:val="24"/>
          <w:szCs w:val="24"/>
        </w:rPr>
        <w:t>:</w:t>
      </w:r>
      <w:r w:rsidRPr="00E53C41">
        <w:rPr>
          <w:rFonts w:asciiTheme="majorBidi" w:hAnsiTheme="majorBidi" w:cstheme="majorBidi"/>
          <w:sz w:val="24"/>
          <w:szCs w:val="24"/>
        </w:rPr>
        <w:t xml:space="preserve"> </w:t>
      </w:r>
      <w:r w:rsidR="0038309A" w:rsidRPr="0038309A">
        <w:rPr>
          <w:rFonts w:asciiTheme="majorBidi" w:hAnsiTheme="majorBidi" w:cstheme="majorBidi"/>
          <w:sz w:val="24"/>
          <w:szCs w:val="24"/>
        </w:rPr>
        <w:t xml:space="preserve">Plenartreffen im Rahmen des DFG-Schwerpunktprogramms 1630 </w:t>
      </w:r>
      <w:r w:rsidR="0038309A">
        <w:rPr>
          <w:rFonts w:asciiTheme="majorBidi" w:hAnsiTheme="majorBidi" w:cstheme="majorBidi"/>
          <w:sz w:val="24"/>
          <w:szCs w:val="24"/>
        </w:rPr>
        <w:t>„</w:t>
      </w:r>
      <w:r w:rsidR="0038309A" w:rsidRPr="0038309A">
        <w:rPr>
          <w:rFonts w:asciiTheme="majorBidi" w:hAnsiTheme="majorBidi" w:cstheme="majorBidi"/>
          <w:sz w:val="24"/>
          <w:szCs w:val="24"/>
        </w:rPr>
        <w:t>Häfen von der Römischen Kaiserzeit bis zum Mittelalter</w:t>
      </w:r>
      <w:r w:rsidR="0038309A">
        <w:rPr>
          <w:rFonts w:asciiTheme="majorBidi" w:hAnsiTheme="majorBidi" w:cstheme="majorBidi"/>
          <w:sz w:val="24"/>
          <w:szCs w:val="24"/>
        </w:rPr>
        <w:t>“</w:t>
      </w:r>
      <w:r w:rsidR="0038309A" w:rsidRPr="0038309A">
        <w:rPr>
          <w:rFonts w:asciiTheme="majorBidi" w:hAnsiTheme="majorBidi" w:cstheme="majorBidi"/>
          <w:sz w:val="24"/>
          <w:szCs w:val="24"/>
        </w:rPr>
        <w:t xml:space="preserve"> im Römisch-Germanischen Zentralmuseum Mainz, 13.</w:t>
      </w:r>
      <w:r w:rsidR="0038309A">
        <w:rPr>
          <w:rFonts w:asciiTheme="majorBidi" w:hAnsiTheme="majorBidi" w:cstheme="majorBidi"/>
          <w:sz w:val="24"/>
          <w:szCs w:val="24"/>
        </w:rPr>
        <w:t>–</w:t>
      </w:r>
      <w:r w:rsidR="0038309A" w:rsidRPr="0038309A">
        <w:rPr>
          <w:rFonts w:asciiTheme="majorBidi" w:hAnsiTheme="majorBidi" w:cstheme="majorBidi"/>
          <w:sz w:val="24"/>
          <w:szCs w:val="24"/>
        </w:rPr>
        <w:t xml:space="preserve">15. Januar 2014 </w:t>
      </w:r>
      <w:r w:rsidR="007B2496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RGZM-</w:t>
      </w:r>
      <w:r w:rsidRPr="00E53C41">
        <w:rPr>
          <w:rFonts w:asciiTheme="majorBidi" w:hAnsiTheme="majorBidi" w:cstheme="majorBidi"/>
          <w:sz w:val="24"/>
          <w:szCs w:val="24"/>
        </w:rPr>
        <w:t>Tagungen</w:t>
      </w:r>
      <w:r>
        <w:rPr>
          <w:rFonts w:asciiTheme="majorBidi" w:hAnsiTheme="majorBidi" w:cstheme="majorBidi"/>
          <w:sz w:val="24"/>
          <w:szCs w:val="24"/>
        </w:rPr>
        <w:t>, 22 </w:t>
      </w:r>
      <w:r w:rsidR="007B2496">
        <w:rPr>
          <w:rFonts w:asciiTheme="majorBidi" w:hAnsiTheme="majorBidi" w:cstheme="majorBidi"/>
          <w:sz w:val="24"/>
          <w:szCs w:val="24"/>
        </w:rPr>
        <w:t>=</w:t>
      </w:r>
      <w:r w:rsidRPr="00E53C41">
        <w:rPr>
          <w:rFonts w:asciiTheme="majorBidi" w:hAnsiTheme="majorBidi" w:cstheme="majorBidi"/>
          <w:sz w:val="24"/>
          <w:szCs w:val="24"/>
        </w:rPr>
        <w:t xml:space="preserve"> Interdisziplinäre Forschungen zu den Häfen von der römischen Kaiserzeit bis zum Mittelalter</w:t>
      </w:r>
      <w:r>
        <w:rPr>
          <w:rFonts w:asciiTheme="majorBidi" w:hAnsiTheme="majorBidi" w:cstheme="majorBidi"/>
          <w:sz w:val="24"/>
          <w:szCs w:val="24"/>
        </w:rPr>
        <w:t>,</w:t>
      </w:r>
      <w:r w:rsidRPr="00E53C41">
        <w:rPr>
          <w:rFonts w:asciiTheme="majorBidi" w:hAnsiTheme="majorBidi" w:cstheme="majorBidi"/>
          <w:sz w:val="24"/>
          <w:szCs w:val="24"/>
        </w:rPr>
        <w:t xml:space="preserve"> 1</w:t>
      </w:r>
      <w:r w:rsidR="007B2496">
        <w:rPr>
          <w:rFonts w:asciiTheme="majorBidi" w:hAnsiTheme="majorBidi" w:cstheme="majorBidi"/>
          <w:sz w:val="24"/>
          <w:szCs w:val="24"/>
        </w:rPr>
        <w:t>),</w:t>
      </w:r>
      <w:r>
        <w:rPr>
          <w:rFonts w:asciiTheme="majorBidi" w:hAnsiTheme="majorBidi" w:cstheme="majorBidi"/>
          <w:sz w:val="24"/>
          <w:szCs w:val="24"/>
        </w:rPr>
        <w:t xml:space="preserve"> Mainz</w:t>
      </w:r>
      <w:r w:rsidR="007B2496">
        <w:rPr>
          <w:rFonts w:asciiTheme="majorBidi" w:hAnsiTheme="majorBidi" w:cstheme="majorBidi"/>
          <w:sz w:val="24"/>
          <w:szCs w:val="24"/>
        </w:rPr>
        <w:t xml:space="preserve"> 2015</w:t>
      </w:r>
      <w:r w:rsidR="00820D1B">
        <w:rPr>
          <w:rFonts w:asciiTheme="majorBidi" w:hAnsiTheme="majorBidi" w:cstheme="majorBidi"/>
          <w:sz w:val="24"/>
          <w:szCs w:val="24"/>
        </w:rPr>
        <w:t xml:space="preserve"> </w:t>
      </w:r>
      <w:r w:rsidR="00820D1B">
        <w:rPr>
          <w:rFonts w:asciiTheme="majorBidi" w:hAnsiTheme="majorBidi" w:cstheme="majorBidi"/>
          <w:sz w:val="24"/>
          <w:szCs w:val="24"/>
        </w:rPr>
        <w:t>(together with Th. Schmidts)</w:t>
      </w:r>
      <w:r w:rsidR="007B2496">
        <w:rPr>
          <w:rFonts w:asciiTheme="majorBidi" w:hAnsiTheme="majorBidi" w:cstheme="majorBidi"/>
          <w:sz w:val="24"/>
          <w:szCs w:val="24"/>
        </w:rPr>
        <w:t>.</w:t>
      </w:r>
    </w:p>
    <w:p w:rsidR="009F39A0" w:rsidRPr="007A3BD2" w:rsidRDefault="009F39A0" w:rsidP="0012553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Zwei Sonnen am Goldenen Horn? Kaiserliche und patriarchale Macht im byzantinischen Mittelalter, 2 </w:t>
      </w:r>
      <w:r w:rsidR="007B2496">
        <w:rPr>
          <w:rFonts w:asciiTheme="majorBidi" w:hAnsiTheme="majorBidi" w:cstheme="majorBidi"/>
          <w:sz w:val="24"/>
          <w:szCs w:val="24"/>
        </w:rPr>
        <w:t>vols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="007B2496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Byzantinistische Studien und Texte, 3–4</w:t>
      </w:r>
      <w:r w:rsidR="007B2496">
        <w:rPr>
          <w:rFonts w:asciiTheme="majorBidi" w:hAnsiTheme="majorBidi" w:cstheme="majorBidi"/>
          <w:sz w:val="24"/>
          <w:szCs w:val="24"/>
        </w:rPr>
        <w:t>),</w:t>
      </w:r>
      <w:r>
        <w:rPr>
          <w:rFonts w:asciiTheme="majorBidi" w:hAnsiTheme="majorBidi" w:cstheme="majorBidi"/>
          <w:sz w:val="24"/>
          <w:szCs w:val="24"/>
        </w:rPr>
        <w:t xml:space="preserve"> Berlin</w:t>
      </w:r>
      <w:r w:rsidR="007B2496">
        <w:rPr>
          <w:rFonts w:asciiTheme="majorBidi" w:hAnsiTheme="majorBidi" w:cstheme="majorBidi"/>
          <w:sz w:val="24"/>
          <w:szCs w:val="24"/>
        </w:rPr>
        <w:t xml:space="preserve"> 2011–2013</w:t>
      </w:r>
      <w:r w:rsidR="00820D1B">
        <w:rPr>
          <w:rFonts w:asciiTheme="majorBidi" w:hAnsiTheme="majorBidi" w:cstheme="majorBidi"/>
          <w:sz w:val="24"/>
          <w:szCs w:val="24"/>
        </w:rPr>
        <w:t xml:space="preserve"> (</w:t>
      </w:r>
      <w:r w:rsidR="00820D1B">
        <w:rPr>
          <w:rFonts w:asciiTheme="majorBidi" w:hAnsiTheme="majorBidi" w:cstheme="majorBidi"/>
          <w:sz w:val="24"/>
          <w:szCs w:val="24"/>
        </w:rPr>
        <w:t xml:space="preserve">together with M. Grünbart </w:t>
      </w:r>
      <w:r w:rsidR="00820D1B">
        <w:rPr>
          <w:rFonts w:asciiTheme="majorBidi" w:hAnsiTheme="majorBidi" w:cstheme="majorBidi"/>
          <w:sz w:val="24"/>
          <w:szCs w:val="24"/>
        </w:rPr>
        <w:t xml:space="preserve">and </w:t>
      </w:r>
      <w:r w:rsidR="00820D1B">
        <w:rPr>
          <w:rFonts w:asciiTheme="majorBidi" w:hAnsiTheme="majorBidi" w:cstheme="majorBidi"/>
          <w:sz w:val="24"/>
          <w:szCs w:val="24"/>
        </w:rPr>
        <w:t>L. Rickelt</w:t>
      </w:r>
      <w:r w:rsidR="00820D1B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9F39A0" w:rsidRDefault="009F39A0" w:rsidP="00125538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8604E0" w:rsidRDefault="00A0171B" w:rsidP="00125538">
      <w:pPr>
        <w:keepNext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Articles and Book Chapters</w:t>
      </w:r>
    </w:p>
    <w:p w:rsidR="002154B4" w:rsidRDefault="002154B4" w:rsidP="0012553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Kaiser und Kaisertum</w:t>
      </w:r>
      <w:r w:rsidR="006452F0">
        <w:rPr>
          <w:rFonts w:asciiTheme="majorBidi" w:hAnsiTheme="majorBidi" w:cstheme="majorBidi"/>
          <w:sz w:val="24"/>
          <w:szCs w:val="24"/>
        </w:rPr>
        <w:t>, i</w:t>
      </w:r>
      <w:r>
        <w:rPr>
          <w:rFonts w:asciiTheme="majorBidi" w:hAnsiTheme="majorBidi" w:cstheme="majorBidi"/>
          <w:sz w:val="24"/>
          <w:szCs w:val="24"/>
        </w:rPr>
        <w:t xml:space="preserve">n: </w:t>
      </w:r>
      <w:r w:rsidR="006452F0">
        <w:rPr>
          <w:rFonts w:asciiTheme="majorBidi" w:hAnsiTheme="majorBidi" w:cstheme="majorBidi"/>
          <w:sz w:val="24"/>
          <w:szCs w:val="24"/>
        </w:rPr>
        <w:t xml:space="preserve">A. Külzer (ed.), </w:t>
      </w:r>
      <w:r>
        <w:rPr>
          <w:rFonts w:asciiTheme="majorBidi" w:hAnsiTheme="majorBidi" w:cstheme="majorBidi"/>
          <w:sz w:val="24"/>
          <w:szCs w:val="24"/>
        </w:rPr>
        <w:t xml:space="preserve">Goldenes Byzanz? Mittelalterliche Lebensrealitäten im östlichen Mittelmeerraum </w:t>
      </w:r>
      <w:r w:rsidR="006452F0">
        <w:rPr>
          <w:rFonts w:asciiTheme="majorBidi" w:hAnsiTheme="majorBidi" w:cstheme="majorBidi"/>
          <w:sz w:val="24"/>
          <w:szCs w:val="24"/>
        </w:rPr>
        <w:t>(Globalhistorische Skizzen, 47),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125538">
        <w:rPr>
          <w:rFonts w:asciiTheme="majorBidi" w:hAnsiTheme="majorBidi" w:cstheme="majorBidi"/>
          <w:sz w:val="24"/>
          <w:szCs w:val="24"/>
        </w:rPr>
        <w:t>Vienna</w:t>
      </w:r>
      <w:r w:rsidR="006452F0">
        <w:rPr>
          <w:rFonts w:asciiTheme="majorBidi" w:hAnsiTheme="majorBidi" w:cstheme="majorBidi"/>
          <w:sz w:val="24"/>
          <w:szCs w:val="24"/>
        </w:rPr>
        <w:t xml:space="preserve"> 2025,</w:t>
      </w:r>
      <w:r>
        <w:rPr>
          <w:rFonts w:asciiTheme="majorBidi" w:hAnsiTheme="majorBidi" w:cstheme="majorBidi"/>
          <w:sz w:val="24"/>
          <w:szCs w:val="24"/>
        </w:rPr>
        <w:t xml:space="preserve"> 119–147.</w:t>
      </w:r>
    </w:p>
    <w:p w:rsidR="002154B4" w:rsidRDefault="002154B4" w:rsidP="00125538">
      <w:pPr>
        <w:rPr>
          <w:rFonts w:asciiTheme="majorBidi" w:hAnsiTheme="majorBidi" w:cstheme="majorBidi"/>
          <w:sz w:val="24"/>
          <w:szCs w:val="24"/>
        </w:rPr>
      </w:pPr>
      <w:r w:rsidRPr="00225D2A">
        <w:rPr>
          <w:rFonts w:asciiTheme="majorBidi" w:hAnsiTheme="majorBidi" w:cstheme="majorBidi"/>
          <w:sz w:val="24"/>
          <w:szCs w:val="24"/>
        </w:rPr>
        <w:t>Repräsentative Aspekte von Häfen und hafenähnlichen Anlagen im diplomatischen Verkehr de</w:t>
      </w:r>
      <w:r w:rsidR="006452F0">
        <w:rPr>
          <w:rFonts w:asciiTheme="majorBidi" w:hAnsiTheme="majorBidi" w:cstheme="majorBidi"/>
          <w:sz w:val="24"/>
          <w:szCs w:val="24"/>
        </w:rPr>
        <w:t>r Byzantiner mit ihren Nachbarn, i</w:t>
      </w:r>
      <w:r w:rsidRPr="00225D2A">
        <w:rPr>
          <w:rFonts w:asciiTheme="majorBidi" w:hAnsiTheme="majorBidi" w:cstheme="majorBidi"/>
          <w:sz w:val="24"/>
          <w:szCs w:val="24"/>
        </w:rPr>
        <w:t xml:space="preserve">n: </w:t>
      </w:r>
      <w:r w:rsidR="00DF6844">
        <w:rPr>
          <w:rFonts w:asciiTheme="majorBidi" w:hAnsiTheme="majorBidi" w:cstheme="majorBidi"/>
          <w:sz w:val="24"/>
          <w:szCs w:val="24"/>
        </w:rPr>
        <w:t xml:space="preserve">M. </w:t>
      </w:r>
      <w:r>
        <w:rPr>
          <w:rFonts w:asciiTheme="majorBidi" w:hAnsiTheme="majorBidi" w:cstheme="majorBidi"/>
          <w:sz w:val="24"/>
          <w:szCs w:val="24"/>
        </w:rPr>
        <w:t>Koçak</w:t>
      </w:r>
      <w:r w:rsidR="006452F0">
        <w:rPr>
          <w:rFonts w:asciiTheme="majorBidi" w:hAnsiTheme="majorBidi" w:cstheme="majorBidi"/>
          <w:sz w:val="24"/>
          <w:szCs w:val="24"/>
        </w:rPr>
        <w:t xml:space="preserve"> /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DF6844">
        <w:rPr>
          <w:rFonts w:asciiTheme="majorBidi" w:hAnsiTheme="majorBidi" w:cstheme="majorBidi"/>
          <w:sz w:val="24"/>
          <w:szCs w:val="24"/>
        </w:rPr>
        <w:t>Th.</w:t>
      </w:r>
      <w:r>
        <w:rPr>
          <w:rFonts w:asciiTheme="majorBidi" w:hAnsiTheme="majorBidi" w:cstheme="majorBidi"/>
          <w:sz w:val="24"/>
          <w:szCs w:val="24"/>
        </w:rPr>
        <w:t xml:space="preserve"> Schmidts</w:t>
      </w:r>
      <w:r w:rsidR="006452F0">
        <w:rPr>
          <w:rFonts w:asciiTheme="majorBidi" w:hAnsiTheme="majorBidi" w:cstheme="majorBidi"/>
          <w:sz w:val="24"/>
          <w:szCs w:val="24"/>
        </w:rPr>
        <w:t xml:space="preserve"> </w:t>
      </w:r>
      <w:r w:rsidR="006452F0" w:rsidRPr="00A0171B">
        <w:rPr>
          <w:rFonts w:asciiTheme="majorBidi" w:hAnsiTheme="majorBidi" w:cstheme="majorBidi"/>
          <w:sz w:val="24"/>
          <w:szCs w:val="24"/>
        </w:rPr>
        <w:t>/</w:t>
      </w:r>
      <w:r w:rsidRPr="00A0171B">
        <w:rPr>
          <w:rFonts w:asciiTheme="majorBidi" w:hAnsiTheme="majorBidi" w:cstheme="majorBidi"/>
          <w:sz w:val="24"/>
          <w:szCs w:val="24"/>
        </w:rPr>
        <w:t xml:space="preserve"> </w:t>
      </w:r>
      <w:r w:rsidR="00DF6844" w:rsidRPr="00A0171B">
        <w:rPr>
          <w:rFonts w:asciiTheme="majorBidi" w:hAnsiTheme="majorBidi" w:cstheme="majorBidi"/>
          <w:sz w:val="24"/>
          <w:szCs w:val="24"/>
        </w:rPr>
        <w:t>M. M.</w:t>
      </w:r>
      <w:r w:rsidRPr="00A0171B">
        <w:rPr>
          <w:rFonts w:asciiTheme="majorBidi" w:hAnsiTheme="majorBidi" w:cstheme="majorBidi"/>
          <w:sz w:val="24"/>
          <w:szCs w:val="24"/>
        </w:rPr>
        <w:t xml:space="preserve"> Vučetić,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6452F0" w:rsidRPr="006452F0">
        <w:rPr>
          <w:rFonts w:asciiTheme="majorBidi" w:hAnsiTheme="majorBidi" w:cstheme="majorBidi"/>
          <w:sz w:val="24"/>
          <w:szCs w:val="24"/>
        </w:rPr>
        <w:t>Häfen als Orte der Repräsentation in Antike und Mittelalter</w:t>
      </w:r>
      <w:r w:rsidR="006452F0">
        <w:rPr>
          <w:rFonts w:asciiTheme="majorBidi" w:hAnsiTheme="majorBidi" w:cstheme="majorBidi"/>
          <w:sz w:val="24"/>
          <w:szCs w:val="24"/>
        </w:rPr>
        <w:t>,</w:t>
      </w:r>
      <w:r w:rsidR="006452F0" w:rsidRPr="006452F0">
        <w:rPr>
          <w:rFonts w:asciiTheme="majorBidi" w:hAnsiTheme="majorBidi" w:cstheme="majorBidi"/>
          <w:sz w:val="24"/>
          <w:szCs w:val="24"/>
        </w:rPr>
        <w:t xml:space="preserve"> </w:t>
      </w:r>
      <w:r w:rsidRPr="00225D2A">
        <w:rPr>
          <w:rFonts w:asciiTheme="majorBidi" w:hAnsiTheme="majorBidi" w:cstheme="majorBidi"/>
          <w:sz w:val="24"/>
          <w:szCs w:val="24"/>
        </w:rPr>
        <w:t>135–148.</w:t>
      </w:r>
    </w:p>
    <w:p w:rsidR="00125538" w:rsidRDefault="002154B4" w:rsidP="00125538">
      <w:pPr>
        <w:spacing w:after="0"/>
      </w:pPr>
      <w:r w:rsidRPr="00225D2A">
        <w:rPr>
          <w:rFonts w:asciiTheme="majorBidi" w:hAnsiTheme="majorBidi" w:cstheme="majorBidi"/>
          <w:sz w:val="24"/>
          <w:szCs w:val="24"/>
        </w:rPr>
        <w:lastRenderedPageBreak/>
        <w:t>Alles nur ein Missverständnis? Das Treffen des bulgarischen Herrschers Simeon mit dem konstantinopolitanischen Patriarchen Nikol</w:t>
      </w:r>
      <w:r w:rsidR="006452F0">
        <w:rPr>
          <w:rFonts w:asciiTheme="majorBidi" w:hAnsiTheme="majorBidi" w:cstheme="majorBidi"/>
          <w:sz w:val="24"/>
          <w:szCs w:val="24"/>
        </w:rPr>
        <w:t>aos Mystikos am Hebdomon (913), i</w:t>
      </w:r>
      <w:r w:rsidRPr="00225D2A">
        <w:rPr>
          <w:rFonts w:asciiTheme="majorBidi" w:hAnsiTheme="majorBidi" w:cstheme="majorBidi"/>
          <w:sz w:val="24"/>
          <w:szCs w:val="24"/>
        </w:rPr>
        <w:t xml:space="preserve">n: </w:t>
      </w:r>
      <w:r w:rsidR="006452F0">
        <w:rPr>
          <w:rFonts w:asciiTheme="majorBidi" w:hAnsiTheme="majorBidi" w:cstheme="majorBidi"/>
          <w:sz w:val="24"/>
          <w:szCs w:val="24"/>
        </w:rPr>
        <w:t>L. Körntgen / J. Kusber / J. Pahlitzsch / F. Carlà-Uhink (eds.),</w:t>
      </w:r>
      <w:r w:rsidR="006452F0" w:rsidRPr="00225D2A">
        <w:rPr>
          <w:rFonts w:asciiTheme="majorBidi" w:hAnsiTheme="majorBidi" w:cstheme="majorBidi"/>
          <w:sz w:val="24"/>
          <w:szCs w:val="24"/>
        </w:rPr>
        <w:t xml:space="preserve"> </w:t>
      </w:r>
      <w:r w:rsidRPr="00225D2A">
        <w:rPr>
          <w:rFonts w:asciiTheme="majorBidi" w:hAnsiTheme="majorBidi" w:cstheme="majorBidi"/>
          <w:sz w:val="24"/>
          <w:szCs w:val="24"/>
        </w:rPr>
        <w:t>Byzanz und seine europäischen Nachbarn</w:t>
      </w:r>
      <w:r w:rsidR="006452F0">
        <w:rPr>
          <w:rFonts w:asciiTheme="majorBidi" w:hAnsiTheme="majorBidi" w:cstheme="majorBidi"/>
          <w:sz w:val="24"/>
          <w:szCs w:val="24"/>
        </w:rPr>
        <w:t>:</w:t>
      </w:r>
      <w:r w:rsidRPr="00225D2A">
        <w:rPr>
          <w:rFonts w:asciiTheme="majorBidi" w:hAnsiTheme="majorBidi" w:cstheme="majorBidi"/>
          <w:sz w:val="24"/>
          <w:szCs w:val="24"/>
        </w:rPr>
        <w:t xml:space="preserve"> Politische Interdependenzen und kulturelle Missverständnisse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6452F0">
        <w:rPr>
          <w:rFonts w:asciiTheme="majorBidi" w:hAnsiTheme="majorBidi" w:cstheme="majorBidi"/>
          <w:sz w:val="24"/>
          <w:szCs w:val="24"/>
        </w:rPr>
        <w:t>(</w:t>
      </w:r>
      <w:r w:rsidRPr="00225D2A">
        <w:rPr>
          <w:rFonts w:asciiTheme="majorBidi" w:hAnsiTheme="majorBidi" w:cstheme="majorBidi"/>
          <w:sz w:val="24"/>
          <w:szCs w:val="24"/>
        </w:rPr>
        <w:t>Byzanz zwischen Orient und Okzident, 17</w:t>
      </w:r>
      <w:r w:rsidR="006452F0">
        <w:rPr>
          <w:rFonts w:asciiTheme="majorBidi" w:hAnsiTheme="majorBidi" w:cstheme="majorBidi"/>
          <w:sz w:val="24"/>
          <w:szCs w:val="24"/>
        </w:rPr>
        <w:t>),</w:t>
      </w:r>
      <w:r w:rsidRPr="00225D2A">
        <w:rPr>
          <w:rFonts w:asciiTheme="majorBidi" w:hAnsiTheme="majorBidi" w:cstheme="majorBidi"/>
          <w:sz w:val="24"/>
          <w:szCs w:val="24"/>
        </w:rPr>
        <w:t xml:space="preserve"> Mainz</w:t>
      </w:r>
      <w:r w:rsidR="006452F0">
        <w:rPr>
          <w:rFonts w:asciiTheme="majorBidi" w:hAnsiTheme="majorBidi" w:cstheme="majorBidi"/>
          <w:sz w:val="24"/>
          <w:szCs w:val="24"/>
        </w:rPr>
        <w:t xml:space="preserve"> 2020</w:t>
      </w:r>
      <w:r w:rsidRPr="00225D2A">
        <w:rPr>
          <w:rFonts w:asciiTheme="majorBidi" w:hAnsiTheme="majorBidi" w:cstheme="majorBidi"/>
          <w:sz w:val="24"/>
          <w:szCs w:val="24"/>
        </w:rPr>
        <w:t>, 23–39.</w:t>
      </w:r>
      <w:r w:rsidR="00125538" w:rsidRPr="00125538">
        <w:t xml:space="preserve"> </w:t>
      </w:r>
    </w:p>
    <w:p w:rsidR="002154B4" w:rsidRDefault="00125538" w:rsidP="00125538">
      <w:pPr>
        <w:rPr>
          <w:rFonts w:asciiTheme="majorBidi" w:hAnsiTheme="majorBidi" w:cstheme="majorBidi"/>
          <w:sz w:val="24"/>
          <w:szCs w:val="24"/>
        </w:rPr>
      </w:pPr>
      <w:hyperlink r:id="rId6" w:history="1">
        <w:r w:rsidRPr="00A1084B">
          <w:rPr>
            <w:rStyle w:val="Hyperlink"/>
            <w:rFonts w:asciiTheme="majorBidi" w:hAnsiTheme="majorBidi" w:cstheme="majorBidi"/>
            <w:sz w:val="24"/>
            <w:szCs w:val="24"/>
          </w:rPr>
          <w:t>https://doi.org/10.11588/propylaeum.659</w:t>
        </w:r>
      </w:hyperlink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2154B4" w:rsidRDefault="002154B4" w:rsidP="00125538">
      <w:pPr>
        <w:rPr>
          <w:rFonts w:asciiTheme="majorBidi" w:hAnsiTheme="majorBidi" w:cstheme="majorBidi"/>
          <w:sz w:val="24"/>
          <w:szCs w:val="24"/>
        </w:rPr>
      </w:pPr>
      <w:r w:rsidRPr="002154B4">
        <w:rPr>
          <w:rFonts w:asciiTheme="majorBidi" w:hAnsiTheme="majorBidi" w:cstheme="majorBidi"/>
          <w:sz w:val="24"/>
          <w:szCs w:val="24"/>
        </w:rPr>
        <w:t>Das Abkommen zwischen Manuēl I. Komnēnos und Sultan K</w:t>
      </w:r>
      <w:r w:rsidR="00154E55">
        <w:rPr>
          <w:rFonts w:asciiTheme="majorBidi" w:hAnsiTheme="majorBidi" w:cstheme="majorBidi"/>
          <w:sz w:val="24"/>
          <w:szCs w:val="24"/>
        </w:rPr>
        <w:t>ı</w:t>
      </w:r>
      <w:r w:rsidRPr="002154B4">
        <w:rPr>
          <w:rFonts w:asciiTheme="majorBidi" w:hAnsiTheme="majorBidi" w:cstheme="majorBidi"/>
          <w:sz w:val="24"/>
          <w:szCs w:val="24"/>
        </w:rPr>
        <w:t>l</w:t>
      </w:r>
      <w:r w:rsidR="00154E55">
        <w:rPr>
          <w:rFonts w:asciiTheme="majorBidi" w:hAnsiTheme="majorBidi" w:cstheme="majorBidi"/>
          <w:sz w:val="24"/>
          <w:szCs w:val="24"/>
        </w:rPr>
        <w:t>ıç</w:t>
      </w:r>
      <w:r w:rsidRPr="002154B4">
        <w:rPr>
          <w:rFonts w:asciiTheme="majorBidi" w:hAnsiTheme="majorBidi" w:cstheme="majorBidi"/>
          <w:sz w:val="24"/>
          <w:szCs w:val="24"/>
        </w:rPr>
        <w:t xml:space="preserve"> Arslan II. (1161/1162)</w:t>
      </w:r>
      <w:r w:rsidR="006452F0">
        <w:rPr>
          <w:rFonts w:asciiTheme="majorBidi" w:hAnsiTheme="majorBidi" w:cstheme="majorBidi"/>
          <w:sz w:val="24"/>
          <w:szCs w:val="24"/>
        </w:rPr>
        <w:t>:</w:t>
      </w:r>
      <w:r w:rsidRPr="002154B4">
        <w:rPr>
          <w:rFonts w:asciiTheme="majorBidi" w:hAnsiTheme="majorBidi" w:cstheme="majorBidi"/>
          <w:sz w:val="24"/>
          <w:szCs w:val="24"/>
        </w:rPr>
        <w:t xml:space="preserve"> Mechanismen zur Absicherung von Verträgen und ihr Scheitern</w:t>
      </w:r>
      <w:r w:rsidR="006452F0">
        <w:rPr>
          <w:rFonts w:asciiTheme="majorBidi" w:hAnsiTheme="majorBidi" w:cstheme="majorBidi"/>
          <w:sz w:val="24"/>
          <w:szCs w:val="24"/>
        </w:rPr>
        <w:t>, i</w:t>
      </w:r>
      <w:r w:rsidRPr="002154B4">
        <w:rPr>
          <w:rFonts w:asciiTheme="majorBidi" w:hAnsiTheme="majorBidi" w:cstheme="majorBidi"/>
          <w:sz w:val="24"/>
          <w:szCs w:val="24"/>
        </w:rPr>
        <w:t xml:space="preserve">n: </w:t>
      </w:r>
      <w:r w:rsidR="006452F0">
        <w:rPr>
          <w:rFonts w:asciiTheme="majorBidi" w:hAnsiTheme="majorBidi" w:cstheme="majorBidi"/>
          <w:sz w:val="24"/>
          <w:szCs w:val="24"/>
        </w:rPr>
        <w:t xml:space="preserve">G. </w:t>
      </w:r>
      <w:r w:rsidR="006452F0" w:rsidRPr="002154B4">
        <w:rPr>
          <w:rFonts w:asciiTheme="majorBidi" w:hAnsiTheme="majorBidi" w:cstheme="majorBidi"/>
          <w:sz w:val="24"/>
          <w:szCs w:val="24"/>
        </w:rPr>
        <w:t xml:space="preserve">Jostkleigrewe </w:t>
      </w:r>
      <w:r w:rsidR="006452F0">
        <w:rPr>
          <w:rFonts w:asciiTheme="majorBidi" w:hAnsiTheme="majorBidi" w:cstheme="majorBidi"/>
          <w:sz w:val="24"/>
          <w:szCs w:val="24"/>
        </w:rPr>
        <w:t>(ed.), Der Bruch des Vertrages:</w:t>
      </w:r>
      <w:r w:rsidRPr="002154B4">
        <w:rPr>
          <w:rFonts w:asciiTheme="majorBidi" w:hAnsiTheme="majorBidi" w:cstheme="majorBidi"/>
          <w:sz w:val="24"/>
          <w:szCs w:val="24"/>
        </w:rPr>
        <w:t xml:space="preserve"> Die Verbindlichkeit spätmittelalterlicher Diplomatie und ihre Grenzen</w:t>
      </w:r>
      <w:r w:rsidR="006452F0">
        <w:rPr>
          <w:rFonts w:asciiTheme="majorBidi" w:hAnsiTheme="majorBidi" w:cstheme="majorBidi"/>
          <w:sz w:val="24"/>
          <w:szCs w:val="24"/>
        </w:rPr>
        <w:t xml:space="preserve"> (</w:t>
      </w:r>
      <w:r w:rsidRPr="002154B4">
        <w:rPr>
          <w:rFonts w:asciiTheme="majorBidi" w:hAnsiTheme="majorBidi" w:cstheme="majorBidi"/>
          <w:sz w:val="24"/>
          <w:szCs w:val="24"/>
        </w:rPr>
        <w:t>Zeitsc</w:t>
      </w:r>
      <w:r w:rsidR="006452F0">
        <w:rPr>
          <w:rFonts w:asciiTheme="majorBidi" w:hAnsiTheme="majorBidi" w:cstheme="majorBidi"/>
          <w:sz w:val="24"/>
          <w:szCs w:val="24"/>
        </w:rPr>
        <w:t>hrift für Historische Forschung,</w:t>
      </w:r>
      <w:r w:rsidRPr="002154B4">
        <w:rPr>
          <w:rFonts w:asciiTheme="majorBidi" w:hAnsiTheme="majorBidi" w:cstheme="majorBidi"/>
          <w:sz w:val="24"/>
          <w:szCs w:val="24"/>
        </w:rPr>
        <w:t xml:space="preserve"> Beiheft</w:t>
      </w:r>
      <w:r w:rsidR="00154E55">
        <w:rPr>
          <w:rFonts w:asciiTheme="majorBidi" w:hAnsiTheme="majorBidi" w:cstheme="majorBidi"/>
          <w:sz w:val="24"/>
          <w:szCs w:val="24"/>
        </w:rPr>
        <w:t>e</w:t>
      </w:r>
      <w:r w:rsidRPr="002154B4">
        <w:rPr>
          <w:rFonts w:asciiTheme="majorBidi" w:hAnsiTheme="majorBidi" w:cstheme="majorBidi"/>
          <w:sz w:val="24"/>
          <w:szCs w:val="24"/>
        </w:rPr>
        <w:t>, 55</w:t>
      </w:r>
      <w:r w:rsidR="006452F0">
        <w:rPr>
          <w:rFonts w:asciiTheme="majorBidi" w:hAnsiTheme="majorBidi" w:cstheme="majorBidi"/>
          <w:sz w:val="24"/>
          <w:szCs w:val="24"/>
        </w:rPr>
        <w:t>),</w:t>
      </w:r>
      <w:r w:rsidRPr="002154B4">
        <w:rPr>
          <w:rFonts w:asciiTheme="majorBidi" w:hAnsiTheme="majorBidi" w:cstheme="majorBidi"/>
          <w:sz w:val="24"/>
          <w:szCs w:val="24"/>
        </w:rPr>
        <w:t xml:space="preserve"> Berlin</w:t>
      </w:r>
      <w:r w:rsidR="006452F0">
        <w:rPr>
          <w:rFonts w:asciiTheme="majorBidi" w:hAnsiTheme="majorBidi" w:cstheme="majorBidi"/>
          <w:sz w:val="24"/>
          <w:szCs w:val="24"/>
        </w:rPr>
        <w:t xml:space="preserve"> 2019,</w:t>
      </w:r>
      <w:r w:rsidRPr="002154B4">
        <w:rPr>
          <w:rFonts w:asciiTheme="majorBidi" w:hAnsiTheme="majorBidi" w:cstheme="majorBidi"/>
          <w:sz w:val="24"/>
          <w:szCs w:val="24"/>
        </w:rPr>
        <w:t xml:space="preserve"> 175–202.</w:t>
      </w:r>
    </w:p>
    <w:p w:rsidR="00433CAB" w:rsidRPr="00225D2A" w:rsidRDefault="00433CAB" w:rsidP="00125538">
      <w:pPr>
        <w:rPr>
          <w:rFonts w:asciiTheme="majorBidi" w:hAnsiTheme="majorBidi" w:cstheme="majorBidi"/>
          <w:sz w:val="24"/>
          <w:szCs w:val="24"/>
        </w:rPr>
      </w:pPr>
      <w:r w:rsidRPr="00225D2A">
        <w:rPr>
          <w:rFonts w:asciiTheme="majorBidi" w:hAnsiTheme="majorBidi" w:cstheme="majorBidi"/>
          <w:sz w:val="24"/>
          <w:szCs w:val="24"/>
        </w:rPr>
        <w:t>Die Byzantiner und die anderen</w:t>
      </w:r>
      <w:r w:rsidR="004A0559">
        <w:rPr>
          <w:rFonts w:asciiTheme="majorBidi" w:hAnsiTheme="majorBidi" w:cstheme="majorBidi"/>
          <w:sz w:val="24"/>
          <w:szCs w:val="24"/>
        </w:rPr>
        <w:t>:</w:t>
      </w:r>
      <w:r w:rsidRPr="00225D2A">
        <w:rPr>
          <w:rFonts w:asciiTheme="majorBidi" w:hAnsiTheme="majorBidi" w:cstheme="majorBidi"/>
          <w:sz w:val="24"/>
          <w:szCs w:val="24"/>
        </w:rPr>
        <w:t xml:space="preserve"> der Westen</w:t>
      </w:r>
      <w:r w:rsidR="006452F0">
        <w:rPr>
          <w:rFonts w:asciiTheme="majorBidi" w:hAnsiTheme="majorBidi" w:cstheme="majorBidi"/>
          <w:sz w:val="24"/>
          <w:szCs w:val="24"/>
        </w:rPr>
        <w:t>, i</w:t>
      </w:r>
      <w:r w:rsidRPr="00225D2A">
        <w:rPr>
          <w:rFonts w:asciiTheme="majorBidi" w:hAnsiTheme="majorBidi" w:cstheme="majorBidi"/>
          <w:sz w:val="24"/>
          <w:szCs w:val="24"/>
        </w:rPr>
        <w:t xml:space="preserve">n: </w:t>
      </w:r>
      <w:r w:rsidR="006452F0">
        <w:rPr>
          <w:rFonts w:asciiTheme="majorBidi" w:hAnsiTheme="majorBidi" w:cstheme="majorBidi"/>
          <w:sz w:val="24"/>
          <w:szCs w:val="24"/>
        </w:rPr>
        <w:t>F. Daim</w:t>
      </w:r>
      <w:r w:rsidR="006452F0" w:rsidRPr="00225D2A">
        <w:rPr>
          <w:rFonts w:asciiTheme="majorBidi" w:hAnsiTheme="majorBidi" w:cstheme="majorBidi"/>
          <w:sz w:val="24"/>
          <w:szCs w:val="24"/>
        </w:rPr>
        <w:t xml:space="preserve"> </w:t>
      </w:r>
      <w:r w:rsidR="006452F0">
        <w:rPr>
          <w:rFonts w:asciiTheme="majorBidi" w:hAnsiTheme="majorBidi" w:cstheme="majorBidi"/>
          <w:sz w:val="24"/>
          <w:szCs w:val="24"/>
        </w:rPr>
        <w:t>(ed.), Byzanz:</w:t>
      </w:r>
      <w:r w:rsidRPr="00225D2A">
        <w:rPr>
          <w:rFonts w:asciiTheme="majorBidi" w:hAnsiTheme="majorBidi" w:cstheme="majorBidi"/>
          <w:sz w:val="24"/>
          <w:szCs w:val="24"/>
        </w:rPr>
        <w:t xml:space="preserve"> Historisch-k</w:t>
      </w:r>
      <w:r w:rsidR="00125538">
        <w:rPr>
          <w:rFonts w:asciiTheme="majorBidi" w:hAnsiTheme="majorBidi" w:cstheme="majorBidi"/>
          <w:sz w:val="24"/>
          <w:szCs w:val="24"/>
        </w:rPr>
        <w:t>ulturwissenschaftliches Handbuch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6452F0">
        <w:rPr>
          <w:rFonts w:asciiTheme="majorBidi" w:hAnsiTheme="majorBidi" w:cstheme="majorBidi"/>
          <w:sz w:val="24"/>
          <w:szCs w:val="24"/>
        </w:rPr>
        <w:t>(Der Neue Pauly, Supplement-</w:t>
      </w:r>
      <w:r w:rsidRPr="00225D2A">
        <w:rPr>
          <w:rFonts w:asciiTheme="majorBidi" w:hAnsiTheme="majorBidi" w:cstheme="majorBidi"/>
          <w:sz w:val="24"/>
          <w:szCs w:val="24"/>
        </w:rPr>
        <w:t>B</w:t>
      </w:r>
      <w:r w:rsidR="00154E55">
        <w:rPr>
          <w:rFonts w:asciiTheme="majorBidi" w:hAnsiTheme="majorBidi" w:cstheme="majorBidi"/>
          <w:sz w:val="24"/>
          <w:szCs w:val="24"/>
        </w:rPr>
        <w:t>ä</w:t>
      </w:r>
      <w:r w:rsidRPr="00225D2A">
        <w:rPr>
          <w:rFonts w:asciiTheme="majorBidi" w:hAnsiTheme="majorBidi" w:cstheme="majorBidi"/>
          <w:sz w:val="24"/>
          <w:szCs w:val="24"/>
        </w:rPr>
        <w:t>nd</w:t>
      </w:r>
      <w:r w:rsidR="00154E55">
        <w:rPr>
          <w:rFonts w:asciiTheme="majorBidi" w:hAnsiTheme="majorBidi" w:cstheme="majorBidi"/>
          <w:sz w:val="24"/>
          <w:szCs w:val="24"/>
        </w:rPr>
        <w:t>e</w:t>
      </w:r>
      <w:r w:rsidRPr="00225D2A">
        <w:rPr>
          <w:rFonts w:asciiTheme="majorBidi" w:hAnsiTheme="majorBidi" w:cstheme="majorBidi"/>
          <w:sz w:val="24"/>
          <w:szCs w:val="24"/>
        </w:rPr>
        <w:t>, 11</w:t>
      </w:r>
      <w:r w:rsidR="006452F0">
        <w:rPr>
          <w:rFonts w:asciiTheme="majorBidi" w:hAnsiTheme="majorBidi" w:cstheme="majorBidi"/>
          <w:sz w:val="24"/>
          <w:szCs w:val="24"/>
        </w:rPr>
        <w:t xml:space="preserve">), </w:t>
      </w:r>
      <w:r w:rsidRPr="00225D2A">
        <w:rPr>
          <w:rFonts w:asciiTheme="majorBidi" w:hAnsiTheme="majorBidi" w:cstheme="majorBidi"/>
          <w:sz w:val="24"/>
          <w:szCs w:val="24"/>
        </w:rPr>
        <w:t>Stuttgart</w:t>
      </w:r>
      <w:r w:rsidR="006452F0">
        <w:rPr>
          <w:rFonts w:asciiTheme="majorBidi" w:hAnsiTheme="majorBidi" w:cstheme="majorBidi"/>
          <w:sz w:val="24"/>
          <w:szCs w:val="24"/>
        </w:rPr>
        <w:t xml:space="preserve"> 2016</w:t>
      </w:r>
      <w:r w:rsidRPr="00225D2A">
        <w:rPr>
          <w:rFonts w:asciiTheme="majorBidi" w:hAnsiTheme="majorBidi" w:cstheme="majorBidi"/>
          <w:sz w:val="24"/>
          <w:szCs w:val="24"/>
        </w:rPr>
        <w:t>, 1095–1104</w:t>
      </w:r>
      <w:r w:rsidR="00A0171B">
        <w:rPr>
          <w:rFonts w:asciiTheme="majorBidi" w:hAnsiTheme="majorBidi" w:cstheme="majorBidi"/>
          <w:sz w:val="24"/>
          <w:szCs w:val="24"/>
        </w:rPr>
        <w:t xml:space="preserve"> (together with S. Kolditz)</w:t>
      </w:r>
      <w:r w:rsidRPr="00225D2A">
        <w:rPr>
          <w:rFonts w:asciiTheme="majorBidi" w:hAnsiTheme="majorBidi" w:cstheme="majorBidi"/>
          <w:sz w:val="24"/>
          <w:szCs w:val="24"/>
        </w:rPr>
        <w:t>.</w:t>
      </w:r>
    </w:p>
    <w:p w:rsidR="00A0171B" w:rsidRPr="00225D2A" w:rsidRDefault="00A0171B" w:rsidP="00125538">
      <w:pPr>
        <w:rPr>
          <w:rFonts w:asciiTheme="majorBidi" w:hAnsiTheme="majorBidi" w:cstheme="majorBidi"/>
          <w:sz w:val="24"/>
          <w:szCs w:val="24"/>
        </w:rPr>
      </w:pPr>
      <w:r w:rsidRPr="00225D2A">
        <w:rPr>
          <w:rFonts w:asciiTheme="majorBidi" w:hAnsiTheme="majorBidi" w:cstheme="majorBidi"/>
          <w:sz w:val="24"/>
          <w:szCs w:val="24"/>
        </w:rPr>
        <w:t>Emperor John II’s</w:t>
      </w:r>
      <w:r>
        <w:rPr>
          <w:rFonts w:asciiTheme="majorBidi" w:hAnsiTheme="majorBidi" w:cstheme="majorBidi"/>
          <w:sz w:val="24"/>
          <w:szCs w:val="24"/>
        </w:rPr>
        <w:t xml:space="preserve"> Encounters with Foreign Rulers,</w:t>
      </w:r>
      <w:r w:rsidRPr="00225D2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i</w:t>
      </w:r>
      <w:r w:rsidRPr="00225D2A">
        <w:rPr>
          <w:rFonts w:asciiTheme="majorBidi" w:hAnsiTheme="majorBidi" w:cstheme="majorBidi"/>
          <w:sz w:val="24"/>
          <w:szCs w:val="24"/>
        </w:rPr>
        <w:t xml:space="preserve">n: </w:t>
      </w:r>
      <w:r>
        <w:rPr>
          <w:rFonts w:asciiTheme="majorBidi" w:hAnsiTheme="majorBidi" w:cstheme="majorBidi"/>
          <w:sz w:val="24"/>
          <w:szCs w:val="24"/>
        </w:rPr>
        <w:t xml:space="preserve">A. </w:t>
      </w:r>
      <w:r w:rsidRPr="00225D2A">
        <w:rPr>
          <w:rFonts w:asciiTheme="majorBidi" w:hAnsiTheme="majorBidi" w:cstheme="majorBidi"/>
          <w:sz w:val="24"/>
          <w:szCs w:val="24"/>
        </w:rPr>
        <w:t>Bucossi</w:t>
      </w:r>
      <w:r>
        <w:rPr>
          <w:rFonts w:asciiTheme="majorBidi" w:hAnsiTheme="majorBidi" w:cstheme="majorBidi"/>
          <w:sz w:val="24"/>
          <w:szCs w:val="24"/>
        </w:rPr>
        <w:t xml:space="preserve"> / A.</w:t>
      </w:r>
      <w:r w:rsidRPr="00225D2A">
        <w:rPr>
          <w:rFonts w:asciiTheme="majorBidi" w:hAnsiTheme="majorBidi" w:cstheme="majorBidi"/>
          <w:sz w:val="24"/>
          <w:szCs w:val="24"/>
        </w:rPr>
        <w:t xml:space="preserve"> Rodriguez Suarez</w:t>
      </w:r>
      <w:r>
        <w:rPr>
          <w:rFonts w:asciiTheme="majorBidi" w:hAnsiTheme="majorBidi" w:cstheme="majorBidi"/>
          <w:sz w:val="24"/>
          <w:szCs w:val="24"/>
        </w:rPr>
        <w:t xml:space="preserve"> (eds.),</w:t>
      </w:r>
      <w:r w:rsidRPr="00225D2A">
        <w:rPr>
          <w:rFonts w:asciiTheme="majorBidi" w:hAnsiTheme="majorBidi" w:cstheme="majorBidi"/>
          <w:sz w:val="24"/>
          <w:szCs w:val="24"/>
        </w:rPr>
        <w:t xml:space="preserve"> John II</w:t>
      </w:r>
      <w:r>
        <w:rPr>
          <w:rFonts w:asciiTheme="majorBidi" w:hAnsiTheme="majorBidi" w:cstheme="majorBidi"/>
          <w:sz w:val="24"/>
          <w:szCs w:val="24"/>
        </w:rPr>
        <w:t xml:space="preserve"> Komnenos, Emperor of Byzantium:</w:t>
      </w:r>
      <w:r w:rsidRPr="00225D2A">
        <w:rPr>
          <w:rFonts w:asciiTheme="majorBidi" w:hAnsiTheme="majorBidi" w:cstheme="majorBidi"/>
          <w:sz w:val="24"/>
          <w:szCs w:val="24"/>
        </w:rPr>
        <w:t xml:space="preserve"> In the Shadow of Father and Son, London</w:t>
      </w:r>
      <w:r>
        <w:rPr>
          <w:rFonts w:asciiTheme="majorBidi" w:hAnsiTheme="majorBidi" w:cstheme="majorBidi"/>
          <w:sz w:val="24"/>
          <w:szCs w:val="24"/>
        </w:rPr>
        <w:t>/</w:t>
      </w:r>
      <w:r w:rsidRPr="00225D2A">
        <w:rPr>
          <w:rFonts w:asciiTheme="majorBidi" w:hAnsiTheme="majorBidi" w:cstheme="majorBidi"/>
          <w:sz w:val="24"/>
          <w:szCs w:val="24"/>
        </w:rPr>
        <w:t>New York</w:t>
      </w:r>
      <w:r>
        <w:rPr>
          <w:rFonts w:asciiTheme="majorBidi" w:hAnsiTheme="majorBidi" w:cstheme="majorBidi"/>
          <w:sz w:val="24"/>
          <w:szCs w:val="24"/>
        </w:rPr>
        <w:t xml:space="preserve"> 2016</w:t>
      </w:r>
      <w:r w:rsidRPr="00225D2A">
        <w:rPr>
          <w:rFonts w:asciiTheme="majorBidi" w:hAnsiTheme="majorBidi" w:cstheme="majorBidi"/>
          <w:sz w:val="24"/>
          <w:szCs w:val="24"/>
        </w:rPr>
        <w:t>, 71–90.</w:t>
      </w:r>
    </w:p>
    <w:p w:rsidR="00AA3E87" w:rsidRPr="006C6E1D" w:rsidRDefault="00AA3E87" w:rsidP="0012553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Byzanz und der Islam</w:t>
      </w:r>
      <w:r w:rsidR="006452F0">
        <w:rPr>
          <w:rFonts w:asciiTheme="majorBidi" w:hAnsiTheme="majorBidi" w:cstheme="majorBidi"/>
          <w:sz w:val="24"/>
          <w:szCs w:val="24"/>
        </w:rPr>
        <w:t xml:space="preserve">: Das gräzisierte Imperium, in: </w:t>
      </w:r>
      <w:r w:rsidR="00AB6AEC">
        <w:rPr>
          <w:rFonts w:asciiTheme="majorBidi" w:hAnsiTheme="majorBidi" w:cstheme="majorBidi"/>
          <w:sz w:val="24"/>
          <w:szCs w:val="24"/>
        </w:rPr>
        <w:t xml:space="preserve">A. Effenberger </w:t>
      </w:r>
      <w:r w:rsidR="00125538">
        <w:rPr>
          <w:rFonts w:asciiTheme="majorBidi" w:hAnsiTheme="majorBidi" w:cstheme="majorBidi"/>
          <w:sz w:val="24"/>
          <w:szCs w:val="24"/>
        </w:rPr>
        <w:t>et al.</w:t>
      </w:r>
      <w:r w:rsidR="00AB6AEC">
        <w:rPr>
          <w:rFonts w:asciiTheme="majorBidi" w:hAnsiTheme="majorBidi" w:cstheme="majorBidi"/>
          <w:sz w:val="24"/>
          <w:szCs w:val="24"/>
        </w:rPr>
        <w:t xml:space="preserve"> (eds.), </w:t>
      </w:r>
      <w:r>
        <w:rPr>
          <w:rFonts w:asciiTheme="majorBidi" w:hAnsiTheme="majorBidi" w:cstheme="majorBidi"/>
          <w:sz w:val="24"/>
          <w:szCs w:val="24"/>
        </w:rPr>
        <w:t>Byzanz</w:t>
      </w:r>
      <w:r w:rsidR="00CB1323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Darmstadt</w:t>
      </w:r>
      <w:r w:rsidR="006452F0">
        <w:rPr>
          <w:rFonts w:asciiTheme="majorBidi" w:hAnsiTheme="majorBidi" w:cstheme="majorBidi"/>
          <w:sz w:val="24"/>
          <w:szCs w:val="24"/>
        </w:rPr>
        <w:t xml:space="preserve"> 2014</w:t>
      </w:r>
      <w:r>
        <w:rPr>
          <w:rFonts w:asciiTheme="majorBidi" w:hAnsiTheme="majorBidi" w:cstheme="majorBidi"/>
          <w:sz w:val="24"/>
          <w:szCs w:val="24"/>
        </w:rPr>
        <w:t>, 39–54</w:t>
      </w:r>
      <w:r w:rsidR="00A0171B">
        <w:rPr>
          <w:rFonts w:asciiTheme="majorBidi" w:hAnsiTheme="majorBidi" w:cstheme="majorBidi"/>
          <w:sz w:val="24"/>
          <w:szCs w:val="24"/>
        </w:rPr>
        <w:t xml:space="preserve"> (together with J. Pahlitzsch)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CA72BB" w:rsidRDefault="00CA72BB" w:rsidP="00125538">
      <w:pPr>
        <w:rPr>
          <w:rFonts w:asciiTheme="majorBidi" w:hAnsiTheme="majorBidi" w:cstheme="majorBidi"/>
          <w:sz w:val="24"/>
          <w:szCs w:val="24"/>
        </w:rPr>
      </w:pPr>
      <w:r w:rsidRPr="00225D2A">
        <w:rPr>
          <w:rFonts w:asciiTheme="majorBidi" w:hAnsiTheme="majorBidi" w:cstheme="majorBidi"/>
          <w:sz w:val="24"/>
          <w:szCs w:val="24"/>
        </w:rPr>
        <w:t>Die Novelle des Kaisers Iōannēs I. Tzimiskēs über das auf versklavte Kriegsgefangene zu entrichtende Kommerkion</w:t>
      </w:r>
      <w:r w:rsidR="006452F0">
        <w:rPr>
          <w:rFonts w:asciiTheme="majorBidi" w:hAnsiTheme="majorBidi" w:cstheme="majorBidi"/>
          <w:sz w:val="24"/>
          <w:szCs w:val="24"/>
        </w:rPr>
        <w:t>, in:</w:t>
      </w:r>
      <w:r w:rsidRPr="00225D2A">
        <w:rPr>
          <w:rFonts w:asciiTheme="majorBidi" w:hAnsiTheme="majorBidi" w:cstheme="majorBidi"/>
          <w:sz w:val="24"/>
          <w:szCs w:val="24"/>
        </w:rPr>
        <w:t xml:space="preserve"> Fontes Minores 12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 w:rsidR="006452F0">
        <w:rPr>
          <w:rFonts w:asciiTheme="majorBidi" w:hAnsiTheme="majorBidi" w:cstheme="majorBidi"/>
          <w:sz w:val="24"/>
          <w:szCs w:val="24"/>
        </w:rPr>
        <w:t>2014</w:t>
      </w:r>
      <w:r>
        <w:rPr>
          <w:rFonts w:asciiTheme="majorBidi" w:hAnsiTheme="majorBidi" w:cstheme="majorBidi"/>
          <w:sz w:val="24"/>
          <w:szCs w:val="24"/>
        </w:rPr>
        <w:t>),</w:t>
      </w:r>
      <w:r w:rsidRPr="00225D2A">
        <w:rPr>
          <w:rFonts w:asciiTheme="majorBidi" w:hAnsiTheme="majorBidi" w:cstheme="majorBidi"/>
          <w:sz w:val="24"/>
          <w:szCs w:val="24"/>
        </w:rPr>
        <w:t xml:space="preserve"> 279–327.</w:t>
      </w:r>
    </w:p>
    <w:p w:rsidR="00CA72BB" w:rsidRPr="00225D2A" w:rsidRDefault="00CA72BB" w:rsidP="00125538">
      <w:pPr>
        <w:rPr>
          <w:rFonts w:asciiTheme="majorBidi" w:hAnsiTheme="majorBidi" w:cstheme="majorBidi"/>
          <w:sz w:val="24"/>
          <w:szCs w:val="24"/>
        </w:rPr>
      </w:pPr>
      <w:r w:rsidRPr="00225D2A">
        <w:rPr>
          <w:rFonts w:asciiTheme="majorBidi" w:hAnsiTheme="majorBidi" w:cstheme="majorBidi"/>
          <w:sz w:val="24"/>
          <w:szCs w:val="24"/>
        </w:rPr>
        <w:t>Von spottenden Prostituierten und lachenden Herrschern</w:t>
      </w:r>
      <w:r w:rsidR="006452F0">
        <w:rPr>
          <w:rFonts w:asciiTheme="majorBidi" w:hAnsiTheme="majorBidi" w:cstheme="majorBidi"/>
          <w:sz w:val="24"/>
          <w:szCs w:val="24"/>
        </w:rPr>
        <w:t>:</w:t>
      </w:r>
      <w:r w:rsidRPr="00225D2A">
        <w:rPr>
          <w:rFonts w:asciiTheme="majorBidi" w:hAnsiTheme="majorBidi" w:cstheme="majorBidi"/>
          <w:sz w:val="24"/>
          <w:szCs w:val="24"/>
        </w:rPr>
        <w:t xml:space="preserve"> Zu zwei rhetorischen Motiven in der byzantinischen Historiographie</w:t>
      </w:r>
      <w:r w:rsidR="006452F0">
        <w:rPr>
          <w:rFonts w:asciiTheme="majorBidi" w:hAnsiTheme="majorBidi" w:cstheme="majorBidi"/>
          <w:sz w:val="24"/>
          <w:szCs w:val="24"/>
        </w:rPr>
        <w:t>, i</w:t>
      </w:r>
      <w:r w:rsidRPr="00225D2A">
        <w:rPr>
          <w:rFonts w:asciiTheme="majorBidi" w:hAnsiTheme="majorBidi" w:cstheme="majorBidi"/>
          <w:sz w:val="24"/>
          <w:szCs w:val="24"/>
        </w:rPr>
        <w:t xml:space="preserve">n: </w:t>
      </w:r>
      <w:r w:rsidR="006452F0">
        <w:rPr>
          <w:rFonts w:asciiTheme="majorBidi" w:hAnsiTheme="majorBidi" w:cstheme="majorBidi"/>
          <w:sz w:val="24"/>
          <w:szCs w:val="24"/>
        </w:rPr>
        <w:t>M. M.</w:t>
      </w:r>
      <w:r w:rsidR="008A7D53">
        <w:rPr>
          <w:rFonts w:asciiTheme="majorBidi" w:hAnsiTheme="majorBidi" w:cstheme="majorBidi"/>
          <w:sz w:val="24"/>
          <w:szCs w:val="24"/>
        </w:rPr>
        <w:t xml:space="preserve"> </w:t>
      </w:r>
      <w:r w:rsidR="006452F0">
        <w:rPr>
          <w:rFonts w:asciiTheme="majorBidi" w:hAnsiTheme="majorBidi" w:cstheme="majorBidi"/>
          <w:sz w:val="24"/>
          <w:szCs w:val="24"/>
        </w:rPr>
        <w:t>Schütte </w:t>
      </w:r>
      <w:r w:rsidR="006452F0" w:rsidRPr="00225D2A">
        <w:rPr>
          <w:rFonts w:asciiTheme="majorBidi" w:hAnsiTheme="majorBidi" w:cstheme="majorBidi"/>
          <w:sz w:val="24"/>
          <w:szCs w:val="24"/>
        </w:rPr>
        <w:t>/</w:t>
      </w:r>
      <w:r w:rsidR="006452F0">
        <w:rPr>
          <w:rFonts w:asciiTheme="majorBidi" w:hAnsiTheme="majorBidi" w:cstheme="majorBidi"/>
          <w:sz w:val="24"/>
          <w:szCs w:val="24"/>
        </w:rPr>
        <w:t xml:space="preserve"> K. </w:t>
      </w:r>
      <w:r w:rsidR="006452F0" w:rsidRPr="00225D2A">
        <w:rPr>
          <w:rFonts w:asciiTheme="majorBidi" w:hAnsiTheme="majorBidi" w:cstheme="majorBidi"/>
          <w:sz w:val="24"/>
          <w:szCs w:val="24"/>
        </w:rPr>
        <w:t>Rzehak</w:t>
      </w:r>
      <w:r w:rsidR="006452F0">
        <w:rPr>
          <w:rFonts w:asciiTheme="majorBidi" w:hAnsiTheme="majorBidi" w:cstheme="majorBidi"/>
          <w:sz w:val="24"/>
          <w:szCs w:val="24"/>
        </w:rPr>
        <w:t> </w:t>
      </w:r>
      <w:r w:rsidR="006452F0" w:rsidRPr="00225D2A">
        <w:rPr>
          <w:rFonts w:asciiTheme="majorBidi" w:hAnsiTheme="majorBidi" w:cstheme="majorBidi"/>
          <w:sz w:val="24"/>
          <w:szCs w:val="24"/>
        </w:rPr>
        <w:t xml:space="preserve">/ </w:t>
      </w:r>
      <w:r w:rsidR="006452F0">
        <w:rPr>
          <w:rFonts w:asciiTheme="majorBidi" w:hAnsiTheme="majorBidi" w:cstheme="majorBidi"/>
          <w:sz w:val="24"/>
          <w:szCs w:val="24"/>
        </w:rPr>
        <w:t xml:space="preserve">D. </w:t>
      </w:r>
      <w:r w:rsidR="006452F0" w:rsidRPr="00225D2A">
        <w:rPr>
          <w:rFonts w:asciiTheme="majorBidi" w:hAnsiTheme="majorBidi" w:cstheme="majorBidi"/>
          <w:sz w:val="24"/>
          <w:szCs w:val="24"/>
        </w:rPr>
        <w:t>Lizius</w:t>
      </w:r>
      <w:r w:rsidR="006452F0">
        <w:rPr>
          <w:rFonts w:asciiTheme="majorBidi" w:hAnsiTheme="majorBidi" w:cstheme="majorBidi"/>
          <w:sz w:val="24"/>
          <w:szCs w:val="24"/>
        </w:rPr>
        <w:t xml:space="preserve"> (eds.), </w:t>
      </w:r>
      <w:r w:rsidRPr="00225D2A">
        <w:rPr>
          <w:rFonts w:asciiTheme="majorBidi" w:hAnsiTheme="majorBidi" w:cstheme="majorBidi"/>
          <w:sz w:val="24"/>
          <w:szCs w:val="24"/>
        </w:rPr>
        <w:t>Zwischen Fakten und Fiktionen</w:t>
      </w:r>
      <w:r w:rsidR="006452F0">
        <w:rPr>
          <w:rFonts w:asciiTheme="majorBidi" w:hAnsiTheme="majorBidi" w:cstheme="majorBidi"/>
          <w:sz w:val="24"/>
          <w:szCs w:val="24"/>
        </w:rPr>
        <w:t>:</w:t>
      </w:r>
      <w:r w:rsidRPr="00225D2A">
        <w:rPr>
          <w:rFonts w:asciiTheme="majorBidi" w:hAnsiTheme="majorBidi" w:cstheme="majorBidi"/>
          <w:sz w:val="24"/>
          <w:szCs w:val="24"/>
        </w:rPr>
        <w:t xml:space="preserve"> Literatur und Geschichtsschreibung in der Vormoderne</w:t>
      </w:r>
      <w:r w:rsidR="006452F0">
        <w:rPr>
          <w:rFonts w:asciiTheme="majorBidi" w:hAnsiTheme="majorBidi" w:cstheme="majorBidi"/>
          <w:sz w:val="24"/>
          <w:szCs w:val="24"/>
        </w:rPr>
        <w:t xml:space="preserve"> (</w:t>
      </w:r>
      <w:r>
        <w:rPr>
          <w:rFonts w:asciiTheme="majorBidi" w:hAnsiTheme="majorBidi" w:cstheme="majorBidi"/>
          <w:sz w:val="24"/>
          <w:szCs w:val="24"/>
        </w:rPr>
        <w:t>Religion und Politik, 10</w:t>
      </w:r>
      <w:r w:rsidR="006452F0">
        <w:rPr>
          <w:rFonts w:asciiTheme="majorBidi" w:hAnsiTheme="majorBidi" w:cstheme="majorBidi"/>
          <w:sz w:val="24"/>
          <w:szCs w:val="24"/>
        </w:rPr>
        <w:t>),</w:t>
      </w:r>
      <w:r w:rsidRPr="00225D2A">
        <w:rPr>
          <w:rFonts w:asciiTheme="majorBidi" w:hAnsiTheme="majorBidi" w:cstheme="majorBidi"/>
          <w:sz w:val="24"/>
          <w:szCs w:val="24"/>
        </w:rPr>
        <w:t xml:space="preserve"> Würzburg</w:t>
      </w:r>
      <w:r w:rsidR="006452F0">
        <w:rPr>
          <w:rFonts w:asciiTheme="majorBidi" w:hAnsiTheme="majorBidi" w:cstheme="majorBidi"/>
          <w:sz w:val="24"/>
          <w:szCs w:val="24"/>
        </w:rPr>
        <w:t xml:space="preserve"> 2014</w:t>
      </w:r>
      <w:r>
        <w:rPr>
          <w:rFonts w:asciiTheme="majorBidi" w:hAnsiTheme="majorBidi" w:cstheme="majorBidi"/>
          <w:sz w:val="24"/>
          <w:szCs w:val="24"/>
        </w:rPr>
        <w:t>,</w:t>
      </w:r>
      <w:r w:rsidRPr="00225D2A">
        <w:rPr>
          <w:rFonts w:asciiTheme="majorBidi" w:hAnsiTheme="majorBidi" w:cstheme="majorBidi"/>
          <w:sz w:val="24"/>
          <w:szCs w:val="24"/>
        </w:rPr>
        <w:t xml:space="preserve"> 81–114.</w:t>
      </w:r>
    </w:p>
    <w:p w:rsidR="00125538" w:rsidRDefault="00A0171B" w:rsidP="00125538">
      <w:pPr>
        <w:spacing w:after="0"/>
      </w:pPr>
      <w:r w:rsidRPr="00225D2A">
        <w:rPr>
          <w:rFonts w:asciiTheme="majorBidi" w:hAnsiTheme="majorBidi" w:cstheme="majorBidi"/>
          <w:sz w:val="24"/>
          <w:szCs w:val="24"/>
        </w:rPr>
        <w:t>Ritual potčinjavanja Stefana Nemanje caru Manojlu Komninu (1172)</w:t>
      </w:r>
      <w:r>
        <w:rPr>
          <w:rFonts w:asciiTheme="majorBidi" w:hAnsiTheme="majorBidi" w:cstheme="majorBidi"/>
          <w:sz w:val="24"/>
          <w:szCs w:val="24"/>
        </w:rPr>
        <w:t>, in:</w:t>
      </w:r>
      <w:r w:rsidRPr="00225D2A">
        <w:rPr>
          <w:rFonts w:asciiTheme="majorBidi" w:hAnsiTheme="majorBidi" w:cstheme="majorBidi"/>
          <w:sz w:val="24"/>
          <w:szCs w:val="24"/>
        </w:rPr>
        <w:t xml:space="preserve"> Zbornik radova Vizantološkog Instituta 50 (</w:t>
      </w:r>
      <w:r>
        <w:rPr>
          <w:rFonts w:asciiTheme="majorBidi" w:hAnsiTheme="majorBidi" w:cstheme="majorBidi"/>
          <w:sz w:val="24"/>
          <w:szCs w:val="24"/>
        </w:rPr>
        <w:t>2013</w:t>
      </w:r>
      <w:r w:rsidRPr="00225D2A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>,</w:t>
      </w:r>
      <w:r w:rsidRPr="00225D2A">
        <w:rPr>
          <w:rFonts w:asciiTheme="majorBidi" w:hAnsiTheme="majorBidi" w:cstheme="majorBidi"/>
          <w:sz w:val="24"/>
          <w:szCs w:val="24"/>
        </w:rPr>
        <w:t xml:space="preserve"> 493–503.</w:t>
      </w:r>
    </w:p>
    <w:p w:rsidR="00A0171B" w:rsidRDefault="00125538" w:rsidP="00125538">
      <w:hyperlink r:id="rId7" w:history="1">
        <w:r w:rsidRPr="00A1084B">
          <w:rPr>
            <w:rStyle w:val="Hyperlink"/>
            <w:rFonts w:asciiTheme="majorBidi" w:hAnsiTheme="majorBidi" w:cstheme="majorBidi"/>
            <w:sz w:val="24"/>
            <w:szCs w:val="24"/>
          </w:rPr>
          <w:t>https://doi.org/10.2298/ZRVI1350493V</w:t>
        </w:r>
      </w:hyperlink>
    </w:p>
    <w:p w:rsidR="00CA72BB" w:rsidRPr="00225D2A" w:rsidRDefault="00CA72BB" w:rsidP="00125538">
      <w:pPr>
        <w:rPr>
          <w:rFonts w:asciiTheme="majorBidi" w:hAnsiTheme="majorBidi" w:cstheme="majorBidi"/>
          <w:sz w:val="24"/>
          <w:szCs w:val="24"/>
        </w:rPr>
      </w:pPr>
      <w:r w:rsidRPr="00225D2A">
        <w:rPr>
          <w:rFonts w:asciiTheme="majorBidi" w:hAnsiTheme="majorBidi" w:cstheme="majorBidi"/>
          <w:sz w:val="24"/>
          <w:szCs w:val="24"/>
        </w:rPr>
        <w:t>Taronites</w:t>
      </w:r>
      <w:r w:rsidR="006452F0">
        <w:rPr>
          <w:rFonts w:asciiTheme="majorBidi" w:hAnsiTheme="majorBidi" w:cstheme="majorBidi"/>
          <w:sz w:val="24"/>
          <w:szCs w:val="24"/>
        </w:rPr>
        <w:t>, i</w:t>
      </w:r>
      <w:r w:rsidRPr="00225D2A">
        <w:rPr>
          <w:rFonts w:asciiTheme="majorBidi" w:hAnsiTheme="majorBidi" w:cstheme="majorBidi"/>
          <w:sz w:val="24"/>
          <w:szCs w:val="24"/>
        </w:rPr>
        <w:t xml:space="preserve">n: </w:t>
      </w:r>
      <w:r w:rsidR="006452F0">
        <w:rPr>
          <w:rFonts w:asciiTheme="majorBidi" w:hAnsiTheme="majorBidi" w:cstheme="majorBidi"/>
          <w:sz w:val="24"/>
          <w:szCs w:val="24"/>
        </w:rPr>
        <w:t xml:space="preserve">D. </w:t>
      </w:r>
      <w:r w:rsidR="006452F0" w:rsidRPr="00225D2A">
        <w:rPr>
          <w:rFonts w:asciiTheme="majorBidi" w:hAnsiTheme="majorBidi" w:cstheme="majorBidi"/>
          <w:sz w:val="24"/>
          <w:szCs w:val="24"/>
        </w:rPr>
        <w:t>Thomas</w:t>
      </w:r>
      <w:r w:rsidR="006452F0">
        <w:rPr>
          <w:rFonts w:asciiTheme="majorBidi" w:hAnsiTheme="majorBidi" w:cstheme="majorBidi"/>
          <w:sz w:val="24"/>
          <w:szCs w:val="24"/>
        </w:rPr>
        <w:t> </w:t>
      </w:r>
      <w:r w:rsidR="006452F0" w:rsidRPr="00225D2A">
        <w:rPr>
          <w:rFonts w:asciiTheme="majorBidi" w:hAnsiTheme="majorBidi" w:cstheme="majorBidi"/>
          <w:sz w:val="24"/>
          <w:szCs w:val="24"/>
        </w:rPr>
        <w:t xml:space="preserve">/ </w:t>
      </w:r>
      <w:r w:rsidR="006452F0">
        <w:rPr>
          <w:rFonts w:asciiTheme="majorBidi" w:hAnsiTheme="majorBidi" w:cstheme="majorBidi"/>
          <w:sz w:val="24"/>
          <w:szCs w:val="24"/>
        </w:rPr>
        <w:t xml:space="preserve">A. </w:t>
      </w:r>
      <w:r w:rsidR="006452F0" w:rsidRPr="00225D2A">
        <w:rPr>
          <w:rFonts w:asciiTheme="majorBidi" w:hAnsiTheme="majorBidi" w:cstheme="majorBidi"/>
          <w:sz w:val="24"/>
          <w:szCs w:val="24"/>
        </w:rPr>
        <w:t>Mallett</w:t>
      </w:r>
      <w:r w:rsidR="006452F0">
        <w:rPr>
          <w:rFonts w:asciiTheme="majorBidi" w:hAnsiTheme="majorBidi" w:cstheme="majorBidi"/>
          <w:sz w:val="24"/>
          <w:szCs w:val="24"/>
        </w:rPr>
        <w:t xml:space="preserve"> (eds.),</w:t>
      </w:r>
      <w:r w:rsidR="006452F0" w:rsidRPr="00225D2A">
        <w:rPr>
          <w:rFonts w:asciiTheme="majorBidi" w:hAnsiTheme="majorBidi" w:cstheme="majorBidi"/>
          <w:sz w:val="24"/>
          <w:szCs w:val="24"/>
        </w:rPr>
        <w:t xml:space="preserve"> </w:t>
      </w:r>
      <w:r w:rsidRPr="00225D2A">
        <w:rPr>
          <w:rFonts w:asciiTheme="majorBidi" w:hAnsiTheme="majorBidi" w:cstheme="majorBidi"/>
          <w:sz w:val="24"/>
          <w:szCs w:val="24"/>
        </w:rPr>
        <w:t xml:space="preserve">Christian-Muslim Relations: A Bibliographical History, </w:t>
      </w:r>
      <w:r>
        <w:rPr>
          <w:rFonts w:asciiTheme="majorBidi" w:hAnsiTheme="majorBidi" w:cstheme="majorBidi"/>
          <w:sz w:val="24"/>
          <w:szCs w:val="24"/>
        </w:rPr>
        <w:t>vol</w:t>
      </w:r>
      <w:r w:rsidRPr="00225D2A">
        <w:rPr>
          <w:rFonts w:asciiTheme="majorBidi" w:hAnsiTheme="majorBidi" w:cstheme="majorBidi"/>
          <w:sz w:val="24"/>
          <w:szCs w:val="24"/>
        </w:rPr>
        <w:t xml:space="preserve">. 5 (1350–1500) </w:t>
      </w:r>
      <w:r w:rsidR="006452F0">
        <w:rPr>
          <w:rFonts w:asciiTheme="majorBidi" w:hAnsiTheme="majorBidi" w:cstheme="majorBidi"/>
          <w:sz w:val="24"/>
          <w:szCs w:val="24"/>
        </w:rPr>
        <w:t>(</w:t>
      </w:r>
      <w:r w:rsidRPr="00225D2A">
        <w:rPr>
          <w:rFonts w:asciiTheme="majorBidi" w:hAnsiTheme="majorBidi" w:cstheme="majorBidi"/>
          <w:sz w:val="24"/>
          <w:szCs w:val="24"/>
        </w:rPr>
        <w:t>History of Christian-Muslim Relations, 20</w:t>
      </w:r>
      <w:r w:rsidR="006452F0">
        <w:rPr>
          <w:rFonts w:asciiTheme="majorBidi" w:hAnsiTheme="majorBidi" w:cstheme="majorBidi"/>
          <w:sz w:val="24"/>
          <w:szCs w:val="24"/>
        </w:rPr>
        <w:t>),</w:t>
      </w:r>
      <w:r w:rsidRPr="00225D2A">
        <w:rPr>
          <w:rFonts w:asciiTheme="majorBidi" w:hAnsiTheme="majorBidi" w:cstheme="majorBidi"/>
          <w:sz w:val="24"/>
          <w:szCs w:val="24"/>
        </w:rPr>
        <w:t xml:space="preserve"> Leiden</w:t>
      </w:r>
      <w:r w:rsidR="006452F0">
        <w:rPr>
          <w:rFonts w:asciiTheme="majorBidi" w:hAnsiTheme="majorBidi" w:cstheme="majorBidi"/>
          <w:sz w:val="24"/>
          <w:szCs w:val="24"/>
        </w:rPr>
        <w:t>/</w:t>
      </w:r>
      <w:r w:rsidRPr="00225D2A">
        <w:rPr>
          <w:rFonts w:asciiTheme="majorBidi" w:hAnsiTheme="majorBidi" w:cstheme="majorBidi"/>
          <w:sz w:val="24"/>
          <w:szCs w:val="24"/>
        </w:rPr>
        <w:t>Boston 2013, 109–113.</w:t>
      </w:r>
    </w:p>
    <w:p w:rsidR="00125538" w:rsidRDefault="00A0171B" w:rsidP="00125538">
      <w:pPr>
        <w:spacing w:after="0"/>
      </w:pPr>
      <w:r>
        <w:rPr>
          <w:rFonts w:asciiTheme="majorBidi" w:hAnsiTheme="majorBidi" w:cstheme="majorBidi"/>
          <w:sz w:val="24"/>
          <w:szCs w:val="24"/>
        </w:rPr>
        <w:t>Ironie und Spott in der Alexias Anna Komnenes: Gregor VII. und der Investiturstreit, in: Byzantion 82 (2012), 465–492.</w:t>
      </w:r>
      <w:r w:rsidR="00125538" w:rsidRPr="00125538">
        <w:t xml:space="preserve"> </w:t>
      </w:r>
    </w:p>
    <w:p w:rsidR="00A0171B" w:rsidRDefault="00125538" w:rsidP="00125538">
      <w:pPr>
        <w:rPr>
          <w:rFonts w:asciiTheme="majorBidi" w:hAnsiTheme="majorBidi" w:cstheme="majorBidi"/>
          <w:sz w:val="24"/>
          <w:szCs w:val="24"/>
        </w:rPr>
      </w:pPr>
      <w:hyperlink r:id="rId8" w:history="1">
        <w:r w:rsidRPr="00A1084B">
          <w:rPr>
            <w:rStyle w:val="Hyperlink"/>
            <w:rFonts w:asciiTheme="majorBidi" w:hAnsiTheme="majorBidi" w:cstheme="majorBidi"/>
            <w:sz w:val="24"/>
            <w:szCs w:val="24"/>
          </w:rPr>
          <w:t>https://doi.org/10.2143/BYZ.82.0.2174100</w:t>
        </w:r>
      </w:hyperlink>
    </w:p>
    <w:p w:rsidR="002154B4" w:rsidRPr="00225D2A" w:rsidRDefault="006452F0" w:rsidP="00125538">
      <w:pPr>
        <w:rPr>
          <w:rFonts w:asciiTheme="majorBidi" w:hAnsiTheme="majorBidi" w:cstheme="majorBidi"/>
          <w:sz w:val="24"/>
          <w:szCs w:val="24"/>
        </w:rPr>
      </w:pPr>
      <w:r w:rsidRPr="006452F0">
        <w:rPr>
          <w:rFonts w:asciiTheme="majorBidi" w:hAnsiTheme="majorBidi" w:cstheme="majorBidi"/>
          <w:sz w:val="24"/>
          <w:szCs w:val="24"/>
        </w:rPr>
        <w:t>Kontakte zwischen Münster und B</w:t>
      </w:r>
      <w:r>
        <w:rPr>
          <w:rFonts w:asciiTheme="majorBidi" w:hAnsiTheme="majorBidi" w:cstheme="majorBidi"/>
          <w:sz w:val="24"/>
          <w:szCs w:val="24"/>
        </w:rPr>
        <w:t>yzanz in schriftlichen Quellen</w:t>
      </w:r>
      <w:r w:rsidRPr="006452F0">
        <w:rPr>
          <w:rFonts w:asciiTheme="majorBidi" w:hAnsiTheme="majorBidi" w:cstheme="majorBidi"/>
          <w:sz w:val="24"/>
          <w:szCs w:val="24"/>
        </w:rPr>
        <w:t>, in: M. Grünbart (ed</w:t>
      </w:r>
      <w:r w:rsidR="002154B4" w:rsidRPr="006452F0">
        <w:rPr>
          <w:rFonts w:asciiTheme="majorBidi" w:hAnsiTheme="majorBidi" w:cstheme="majorBidi"/>
          <w:sz w:val="24"/>
          <w:szCs w:val="24"/>
        </w:rPr>
        <w:t>.), Gold und Blei</w:t>
      </w:r>
      <w:r w:rsidR="008A7D53">
        <w:rPr>
          <w:rFonts w:asciiTheme="majorBidi" w:hAnsiTheme="majorBidi" w:cstheme="majorBidi"/>
          <w:sz w:val="24"/>
          <w:szCs w:val="24"/>
        </w:rPr>
        <w:t>:</w:t>
      </w:r>
      <w:r w:rsidR="002154B4" w:rsidRPr="006452F0">
        <w:rPr>
          <w:rFonts w:asciiTheme="majorBidi" w:hAnsiTheme="majorBidi" w:cstheme="majorBidi"/>
          <w:sz w:val="24"/>
          <w:szCs w:val="24"/>
        </w:rPr>
        <w:t xml:space="preserve"> Byzantinische Kostbarkeiten aus dem Münsterland</w:t>
      </w:r>
      <w:r w:rsidR="008A7D53">
        <w:rPr>
          <w:rFonts w:asciiTheme="majorBidi" w:hAnsiTheme="majorBidi" w:cstheme="majorBidi"/>
          <w:sz w:val="24"/>
          <w:szCs w:val="24"/>
        </w:rPr>
        <w:t>:</w:t>
      </w:r>
      <w:r w:rsidR="002154B4" w:rsidRPr="006452F0">
        <w:rPr>
          <w:rFonts w:asciiTheme="majorBidi" w:hAnsiTheme="majorBidi" w:cstheme="majorBidi"/>
          <w:sz w:val="24"/>
          <w:szCs w:val="24"/>
        </w:rPr>
        <w:t xml:space="preserve"> Katalog</w:t>
      </w:r>
      <w:r w:rsidR="002154B4" w:rsidRPr="00225D2A">
        <w:rPr>
          <w:rFonts w:asciiTheme="majorBidi" w:hAnsiTheme="majorBidi" w:cstheme="majorBidi"/>
          <w:sz w:val="24"/>
          <w:szCs w:val="24"/>
        </w:rPr>
        <w:t xml:space="preserve"> zu den Ausstellungen im Ikonenmuseum, Recklinghausen, 23.6.–21.10.2012 und im Archäologischen Museum der Westfälischen Wilhelms-Universität Münster, 7.9.2013–12.1.2014,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125538">
        <w:rPr>
          <w:rFonts w:asciiTheme="majorBidi" w:hAnsiTheme="majorBidi" w:cstheme="majorBidi"/>
          <w:sz w:val="24"/>
          <w:szCs w:val="24"/>
        </w:rPr>
        <w:t>Vienna</w:t>
      </w:r>
      <w:r>
        <w:rPr>
          <w:rFonts w:asciiTheme="majorBidi" w:hAnsiTheme="majorBidi" w:cstheme="majorBidi"/>
          <w:sz w:val="24"/>
          <w:szCs w:val="24"/>
        </w:rPr>
        <w:t xml:space="preserve"> 2012</w:t>
      </w:r>
      <w:r w:rsidR="002154B4" w:rsidRPr="00225D2A">
        <w:rPr>
          <w:rFonts w:asciiTheme="majorBidi" w:hAnsiTheme="majorBidi" w:cstheme="majorBidi"/>
          <w:sz w:val="24"/>
          <w:szCs w:val="24"/>
        </w:rPr>
        <w:t>, 67–78.</w:t>
      </w:r>
    </w:p>
    <w:p w:rsidR="002154B4" w:rsidRDefault="00E01C8E" w:rsidP="00125538">
      <w:pPr>
        <w:rPr>
          <w:rFonts w:asciiTheme="majorBidi" w:hAnsiTheme="majorBidi" w:cstheme="majorBidi"/>
          <w:sz w:val="24"/>
          <w:szCs w:val="24"/>
        </w:rPr>
      </w:pPr>
      <w:r w:rsidRPr="00B83E2E">
        <w:rPr>
          <w:rFonts w:asciiTheme="majorBidi" w:hAnsiTheme="majorBidi" w:cstheme="majorBidi"/>
          <w:bCs/>
          <w:sz w:val="24"/>
          <w:szCs w:val="24"/>
        </w:rPr>
        <w:t>E</w:t>
      </w:r>
      <w:r w:rsidRPr="00E01C8E">
        <w:rPr>
          <w:rFonts w:asciiTheme="majorBidi" w:hAnsiTheme="majorBidi" w:cstheme="majorBidi"/>
          <w:bCs/>
          <w:sz w:val="24"/>
          <w:szCs w:val="24"/>
        </w:rPr>
        <w:t>skalierende Konflikte</w:t>
      </w:r>
      <w:r w:rsidR="00B83E2E">
        <w:rPr>
          <w:rFonts w:asciiTheme="majorBidi" w:hAnsiTheme="majorBidi" w:cstheme="majorBidi"/>
          <w:bCs/>
          <w:sz w:val="24"/>
          <w:szCs w:val="24"/>
        </w:rPr>
        <w:t>:</w:t>
      </w:r>
      <w:r w:rsidRPr="00E01C8E">
        <w:rPr>
          <w:rFonts w:asciiTheme="majorBidi" w:hAnsiTheme="majorBidi" w:cstheme="majorBidi"/>
          <w:bCs/>
          <w:sz w:val="24"/>
          <w:szCs w:val="24"/>
        </w:rPr>
        <w:t xml:space="preserve"> Gewalt byzantinischer Kaiser gegen konstantinopolitanische Patriarchen im achten Jahrhundert</w:t>
      </w:r>
      <w:r w:rsidR="00B83E2E">
        <w:rPr>
          <w:rFonts w:asciiTheme="majorBidi" w:hAnsiTheme="majorBidi" w:cstheme="majorBidi"/>
          <w:bCs/>
          <w:sz w:val="24"/>
          <w:szCs w:val="24"/>
        </w:rPr>
        <w:t>, in</w:t>
      </w:r>
      <w:r>
        <w:rPr>
          <w:rFonts w:asciiTheme="majorBidi" w:hAnsiTheme="majorBidi" w:cstheme="majorBidi"/>
          <w:bCs/>
          <w:sz w:val="24"/>
          <w:szCs w:val="24"/>
        </w:rPr>
        <w:t xml:space="preserve">: </w:t>
      </w:r>
      <w:r w:rsidR="00B83E2E">
        <w:rPr>
          <w:rFonts w:asciiTheme="majorBidi" w:hAnsiTheme="majorBidi" w:cstheme="majorBidi"/>
          <w:bCs/>
          <w:sz w:val="24"/>
          <w:szCs w:val="24"/>
        </w:rPr>
        <w:t xml:space="preserve">M. </w:t>
      </w:r>
      <w:r w:rsidR="00B83E2E">
        <w:rPr>
          <w:rFonts w:asciiTheme="majorBidi" w:hAnsiTheme="majorBidi" w:cstheme="majorBidi"/>
          <w:sz w:val="24"/>
          <w:szCs w:val="24"/>
        </w:rPr>
        <w:t>Grünbart / L.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0171B">
        <w:rPr>
          <w:rFonts w:asciiTheme="majorBidi" w:hAnsiTheme="majorBidi" w:cstheme="majorBidi"/>
          <w:sz w:val="24"/>
          <w:szCs w:val="24"/>
        </w:rPr>
        <w:t>Rickelt</w:t>
      </w:r>
      <w:r w:rsidR="00B83E2E" w:rsidRPr="00A0171B">
        <w:rPr>
          <w:rFonts w:asciiTheme="majorBidi" w:hAnsiTheme="majorBidi" w:cstheme="majorBidi"/>
          <w:sz w:val="24"/>
          <w:szCs w:val="24"/>
        </w:rPr>
        <w:t xml:space="preserve"> / M. M. </w:t>
      </w:r>
      <w:r w:rsidRPr="00A0171B">
        <w:rPr>
          <w:rFonts w:asciiTheme="majorBidi" w:hAnsiTheme="majorBidi" w:cstheme="majorBidi"/>
          <w:sz w:val="24"/>
          <w:szCs w:val="24"/>
        </w:rPr>
        <w:t>Vučetić</w:t>
      </w:r>
      <w:r w:rsidR="00B83E2E" w:rsidRPr="00A0171B">
        <w:rPr>
          <w:rFonts w:asciiTheme="majorBidi" w:hAnsiTheme="majorBidi" w:cstheme="majorBidi"/>
          <w:sz w:val="24"/>
          <w:szCs w:val="24"/>
        </w:rPr>
        <w:t>,</w:t>
      </w:r>
      <w:r w:rsidR="00B83E2E">
        <w:rPr>
          <w:rFonts w:asciiTheme="majorBidi" w:hAnsiTheme="majorBidi" w:cstheme="majorBidi"/>
          <w:sz w:val="24"/>
          <w:szCs w:val="24"/>
        </w:rPr>
        <w:t xml:space="preserve"> Zwei Sonnen am Goldenen Horn?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8A7D53">
        <w:rPr>
          <w:rFonts w:asciiTheme="majorBidi" w:hAnsiTheme="majorBidi" w:cstheme="majorBidi"/>
          <w:sz w:val="24"/>
          <w:szCs w:val="24"/>
        </w:rPr>
        <w:t>V</w:t>
      </w:r>
      <w:r>
        <w:rPr>
          <w:rFonts w:asciiTheme="majorBidi" w:hAnsiTheme="majorBidi" w:cstheme="majorBidi"/>
          <w:sz w:val="24"/>
          <w:szCs w:val="24"/>
        </w:rPr>
        <w:t>ol. 1, 177–207.</w:t>
      </w:r>
    </w:p>
    <w:p w:rsidR="00386ABB" w:rsidRDefault="00386ABB" w:rsidP="00125538">
      <w:pPr>
        <w:rPr>
          <w:rFonts w:asciiTheme="majorBidi" w:hAnsiTheme="majorBidi" w:cstheme="majorBidi"/>
          <w:sz w:val="24"/>
          <w:szCs w:val="24"/>
        </w:rPr>
      </w:pPr>
    </w:p>
    <w:p w:rsidR="00386ABB" w:rsidRDefault="00A0171B" w:rsidP="00125538">
      <w:pPr>
        <w:keepNext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lastRenderedPageBreak/>
        <w:t>Book Reviews</w:t>
      </w:r>
    </w:p>
    <w:p w:rsidR="00A0171B" w:rsidRDefault="00A0171B" w:rsidP="00125538">
      <w:pPr>
        <w:rPr>
          <w:rFonts w:asciiTheme="majorBidi" w:hAnsiTheme="majorBidi" w:cstheme="majorBidi"/>
          <w:sz w:val="24"/>
          <w:szCs w:val="24"/>
        </w:rPr>
      </w:pPr>
      <w:r w:rsidRPr="00A0171B">
        <w:rPr>
          <w:rFonts w:asciiTheme="majorBidi" w:hAnsiTheme="majorBidi" w:cstheme="majorBidi"/>
          <w:sz w:val="24"/>
          <w:szCs w:val="24"/>
        </w:rPr>
        <w:t xml:space="preserve">J. Preiser-Kapeller, Byzanz. Das Neue Rom und die Welt des Mittelalters, </w:t>
      </w:r>
      <w:r w:rsidR="00125538">
        <w:rPr>
          <w:rFonts w:asciiTheme="majorBidi" w:hAnsiTheme="majorBidi" w:cstheme="majorBidi"/>
          <w:sz w:val="24"/>
          <w:szCs w:val="24"/>
        </w:rPr>
        <w:t>Munich</w:t>
      </w:r>
      <w:r w:rsidRPr="00A0171B">
        <w:rPr>
          <w:rFonts w:asciiTheme="majorBidi" w:hAnsiTheme="majorBidi" w:cstheme="majorBidi"/>
          <w:sz w:val="24"/>
          <w:szCs w:val="24"/>
        </w:rPr>
        <w:t xml:space="preserve"> 2023, in: Zeitschrift für Historische Forschung 52 (2025), 702–704.</w:t>
      </w:r>
    </w:p>
    <w:p w:rsidR="00125538" w:rsidRDefault="00386ABB" w:rsidP="00125538">
      <w:pPr>
        <w:spacing w:after="0"/>
      </w:pPr>
      <w:r w:rsidRPr="00386ABB">
        <w:rPr>
          <w:rFonts w:asciiTheme="majorBidi" w:hAnsiTheme="majorBidi" w:cstheme="majorBidi"/>
          <w:sz w:val="24"/>
          <w:szCs w:val="24"/>
        </w:rPr>
        <w:t>N</w:t>
      </w:r>
      <w:r w:rsidR="00F53F1C">
        <w:rPr>
          <w:rFonts w:asciiTheme="majorBidi" w:hAnsiTheme="majorBidi" w:cstheme="majorBidi"/>
          <w:sz w:val="24"/>
          <w:szCs w:val="24"/>
        </w:rPr>
        <w:t>.</w:t>
      </w:r>
      <w:r w:rsidRPr="00386ABB">
        <w:rPr>
          <w:rFonts w:asciiTheme="majorBidi" w:hAnsiTheme="majorBidi" w:cstheme="majorBidi"/>
          <w:sz w:val="24"/>
          <w:szCs w:val="24"/>
        </w:rPr>
        <w:t xml:space="preserve"> </w:t>
      </w:r>
      <w:r w:rsidR="00F53F1C">
        <w:rPr>
          <w:rFonts w:asciiTheme="majorBidi" w:hAnsiTheme="majorBidi" w:cstheme="majorBidi"/>
          <w:sz w:val="24"/>
          <w:szCs w:val="24"/>
        </w:rPr>
        <w:t>Drocourt</w:t>
      </w:r>
      <w:r w:rsidR="008A7D53">
        <w:rPr>
          <w:rFonts w:asciiTheme="majorBidi" w:hAnsiTheme="majorBidi" w:cstheme="majorBidi"/>
          <w:sz w:val="24"/>
          <w:szCs w:val="24"/>
        </w:rPr>
        <w:t>,</w:t>
      </w:r>
      <w:r w:rsidRPr="00386ABB">
        <w:rPr>
          <w:rFonts w:asciiTheme="majorBidi" w:hAnsiTheme="majorBidi" w:cstheme="majorBidi"/>
          <w:sz w:val="24"/>
          <w:szCs w:val="24"/>
        </w:rPr>
        <w:t xml:space="preserve"> L’autre Empire du Milieu</w:t>
      </w:r>
      <w:r w:rsidR="008A7D53">
        <w:rPr>
          <w:rFonts w:asciiTheme="majorBidi" w:hAnsiTheme="majorBidi" w:cstheme="majorBidi"/>
          <w:sz w:val="24"/>
          <w:szCs w:val="24"/>
        </w:rPr>
        <w:t>:</w:t>
      </w:r>
      <w:r w:rsidRPr="00386ABB">
        <w:rPr>
          <w:rFonts w:asciiTheme="majorBidi" w:hAnsiTheme="majorBidi" w:cstheme="majorBidi"/>
          <w:sz w:val="24"/>
          <w:szCs w:val="24"/>
        </w:rPr>
        <w:t xml:space="preserve"> La diplomati</w:t>
      </w:r>
      <w:r w:rsidR="008A7D53">
        <w:rPr>
          <w:rFonts w:asciiTheme="majorBidi" w:hAnsiTheme="majorBidi" w:cstheme="majorBidi"/>
          <w:sz w:val="24"/>
          <w:szCs w:val="24"/>
        </w:rPr>
        <w:t>e byzantine (VIIe–XIIe siècles), Rennes 2023, in:</w:t>
      </w:r>
      <w:r w:rsidRPr="00386ABB">
        <w:rPr>
          <w:rFonts w:asciiTheme="majorBidi" w:hAnsiTheme="majorBidi" w:cstheme="majorBidi"/>
          <w:sz w:val="24"/>
          <w:szCs w:val="24"/>
        </w:rPr>
        <w:t xml:space="preserve"> The Byzantine Review 7</w:t>
      </w:r>
      <w:r w:rsidR="008A7D53">
        <w:rPr>
          <w:rFonts w:asciiTheme="majorBidi" w:hAnsiTheme="majorBidi" w:cstheme="majorBidi"/>
          <w:sz w:val="24"/>
          <w:szCs w:val="24"/>
        </w:rPr>
        <w:t xml:space="preserve"> (2025)</w:t>
      </w:r>
      <w:r w:rsidR="00F53F1C">
        <w:rPr>
          <w:rFonts w:asciiTheme="majorBidi" w:hAnsiTheme="majorBidi" w:cstheme="majorBidi"/>
          <w:sz w:val="24"/>
          <w:szCs w:val="24"/>
        </w:rPr>
        <w:t>, 418–425.</w:t>
      </w:r>
      <w:r w:rsidR="00125538" w:rsidRPr="00125538">
        <w:t xml:space="preserve"> </w:t>
      </w:r>
    </w:p>
    <w:p w:rsidR="00386ABB" w:rsidRPr="00386ABB" w:rsidRDefault="00125538" w:rsidP="00125538">
      <w:pPr>
        <w:rPr>
          <w:rFonts w:asciiTheme="majorBidi" w:hAnsiTheme="majorBidi" w:cstheme="majorBidi"/>
          <w:sz w:val="24"/>
          <w:szCs w:val="24"/>
        </w:rPr>
      </w:pPr>
      <w:hyperlink r:id="rId9" w:history="1">
        <w:r w:rsidRPr="00A1084B">
          <w:rPr>
            <w:rStyle w:val="Hyperlink"/>
            <w:rFonts w:asciiTheme="majorBidi" w:hAnsiTheme="majorBidi" w:cstheme="majorBidi"/>
            <w:sz w:val="24"/>
            <w:szCs w:val="24"/>
          </w:rPr>
          <w:t>https://doi.org/10.17879/byzrev-2025-9128</w:t>
        </w:r>
      </w:hyperlink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F53F1C" w:rsidRPr="00386ABB" w:rsidRDefault="00F53F1C" w:rsidP="00125538">
      <w:pPr>
        <w:rPr>
          <w:rFonts w:asciiTheme="majorBidi" w:hAnsiTheme="majorBidi" w:cstheme="majorBidi"/>
          <w:sz w:val="24"/>
          <w:szCs w:val="24"/>
        </w:rPr>
      </w:pPr>
      <w:r w:rsidRPr="00386ABB">
        <w:rPr>
          <w:rFonts w:asciiTheme="majorBidi" w:hAnsiTheme="majorBidi" w:cstheme="majorBidi"/>
          <w:sz w:val="24"/>
          <w:szCs w:val="24"/>
        </w:rPr>
        <w:t>H</w:t>
      </w:r>
      <w:r>
        <w:rPr>
          <w:rFonts w:asciiTheme="majorBidi" w:hAnsiTheme="majorBidi" w:cstheme="majorBidi"/>
          <w:sz w:val="24"/>
          <w:szCs w:val="24"/>
        </w:rPr>
        <w:t>.</w:t>
      </w:r>
      <w:r w:rsidRPr="00386AB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Gickler</w:t>
      </w:r>
      <w:r w:rsidR="008A7D53">
        <w:rPr>
          <w:rFonts w:asciiTheme="majorBidi" w:hAnsiTheme="majorBidi" w:cstheme="majorBidi"/>
          <w:sz w:val="24"/>
          <w:szCs w:val="24"/>
        </w:rPr>
        <w:t>,</w:t>
      </w:r>
      <w:r w:rsidRPr="00386ABB">
        <w:rPr>
          <w:rFonts w:asciiTheme="majorBidi" w:hAnsiTheme="majorBidi" w:cstheme="majorBidi"/>
          <w:sz w:val="24"/>
          <w:szCs w:val="24"/>
        </w:rPr>
        <w:t xml:space="preserve"> Michael IX. Palaiologos: sein Leben und Wirken (1278 bis 1320)</w:t>
      </w:r>
      <w:r w:rsidR="008A7D53">
        <w:rPr>
          <w:rFonts w:asciiTheme="majorBidi" w:hAnsiTheme="majorBidi" w:cstheme="majorBidi"/>
          <w:sz w:val="24"/>
          <w:szCs w:val="24"/>
        </w:rPr>
        <w:t>:</w:t>
      </w:r>
      <w:r w:rsidRPr="00386ABB">
        <w:rPr>
          <w:rFonts w:asciiTheme="majorBidi" w:hAnsiTheme="majorBidi" w:cstheme="majorBidi"/>
          <w:sz w:val="24"/>
          <w:szCs w:val="24"/>
        </w:rPr>
        <w:t xml:space="preserve"> Eine biographische Annäherung </w:t>
      </w:r>
      <w:r w:rsidR="008A7D53">
        <w:rPr>
          <w:rFonts w:asciiTheme="majorBidi" w:hAnsiTheme="majorBidi" w:cstheme="majorBidi"/>
          <w:sz w:val="24"/>
          <w:szCs w:val="24"/>
        </w:rPr>
        <w:t>(</w:t>
      </w:r>
      <w:r w:rsidRPr="00386ABB">
        <w:rPr>
          <w:rFonts w:asciiTheme="majorBidi" w:hAnsiTheme="majorBidi" w:cstheme="majorBidi"/>
          <w:sz w:val="24"/>
          <w:szCs w:val="24"/>
        </w:rPr>
        <w:t>Studien und Texte zur Byzantinistik, 9</w:t>
      </w:r>
      <w:r w:rsidR="008A7D53">
        <w:rPr>
          <w:rFonts w:asciiTheme="majorBidi" w:hAnsiTheme="majorBidi" w:cstheme="majorBidi"/>
          <w:sz w:val="24"/>
          <w:szCs w:val="24"/>
        </w:rPr>
        <w:t>), Frankfurt am Main 2015, in:</w:t>
      </w:r>
      <w:r w:rsidRPr="00386ABB">
        <w:rPr>
          <w:rFonts w:asciiTheme="majorBidi" w:hAnsiTheme="majorBidi" w:cstheme="majorBidi"/>
          <w:sz w:val="24"/>
          <w:szCs w:val="24"/>
        </w:rPr>
        <w:t xml:space="preserve"> Jahrbuch der österreichischen By</w:t>
      </w:r>
      <w:r>
        <w:rPr>
          <w:rFonts w:asciiTheme="majorBidi" w:hAnsiTheme="majorBidi" w:cstheme="majorBidi"/>
          <w:sz w:val="24"/>
          <w:szCs w:val="24"/>
        </w:rPr>
        <w:t>zantinistik 69</w:t>
      </w:r>
      <w:r w:rsidR="008A7D53">
        <w:rPr>
          <w:rFonts w:asciiTheme="majorBidi" w:hAnsiTheme="majorBidi" w:cstheme="majorBidi"/>
          <w:sz w:val="24"/>
          <w:szCs w:val="24"/>
        </w:rPr>
        <w:t xml:space="preserve"> (2019)</w:t>
      </w:r>
      <w:r>
        <w:rPr>
          <w:rFonts w:asciiTheme="majorBidi" w:hAnsiTheme="majorBidi" w:cstheme="majorBidi"/>
          <w:sz w:val="24"/>
          <w:szCs w:val="24"/>
        </w:rPr>
        <w:t>, 336–338.</w:t>
      </w:r>
    </w:p>
    <w:p w:rsidR="00F53F1C" w:rsidRPr="00386ABB" w:rsidRDefault="00F53F1C" w:rsidP="0012553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F. A. Bauer</w:t>
      </w:r>
      <w:r w:rsidR="008A7D53">
        <w:rPr>
          <w:rFonts w:asciiTheme="majorBidi" w:hAnsiTheme="majorBidi" w:cstheme="majorBidi"/>
          <w:sz w:val="24"/>
          <w:szCs w:val="24"/>
        </w:rPr>
        <w:t>,</w:t>
      </w:r>
      <w:r w:rsidRPr="00386ABB">
        <w:rPr>
          <w:rFonts w:asciiTheme="majorBidi" w:hAnsiTheme="majorBidi" w:cstheme="majorBidi"/>
          <w:sz w:val="24"/>
          <w:szCs w:val="24"/>
        </w:rPr>
        <w:t xml:space="preserve"> Eine Stadt und ihr Patron</w:t>
      </w:r>
      <w:r w:rsidR="008A7D53">
        <w:rPr>
          <w:rFonts w:asciiTheme="majorBidi" w:hAnsiTheme="majorBidi" w:cstheme="majorBidi"/>
          <w:sz w:val="24"/>
          <w:szCs w:val="24"/>
        </w:rPr>
        <w:t>:</w:t>
      </w:r>
      <w:r w:rsidRPr="00386ABB">
        <w:rPr>
          <w:rFonts w:asciiTheme="majorBidi" w:hAnsiTheme="majorBidi" w:cstheme="majorBidi"/>
          <w:sz w:val="24"/>
          <w:szCs w:val="24"/>
        </w:rPr>
        <w:t xml:space="preserve"> Thessaloniki und der Heilige Demetrios</w:t>
      </w:r>
      <w:r w:rsidR="008A7D53">
        <w:rPr>
          <w:rFonts w:asciiTheme="majorBidi" w:hAnsiTheme="majorBidi" w:cstheme="majorBidi"/>
          <w:sz w:val="24"/>
          <w:szCs w:val="24"/>
        </w:rPr>
        <w:t>,</w:t>
      </w:r>
      <w:r w:rsidRPr="00386ABB">
        <w:rPr>
          <w:rFonts w:asciiTheme="majorBidi" w:hAnsiTheme="majorBidi" w:cstheme="majorBidi"/>
          <w:sz w:val="24"/>
          <w:szCs w:val="24"/>
        </w:rPr>
        <w:t xml:space="preserve"> Regensburg 2013</w:t>
      </w:r>
      <w:r w:rsidR="008A7D53">
        <w:rPr>
          <w:rFonts w:asciiTheme="majorBidi" w:hAnsiTheme="majorBidi" w:cstheme="majorBidi"/>
          <w:sz w:val="24"/>
          <w:szCs w:val="24"/>
        </w:rPr>
        <w:t>, in:</w:t>
      </w:r>
      <w:r w:rsidRPr="00386ABB">
        <w:rPr>
          <w:rFonts w:asciiTheme="majorBidi" w:hAnsiTheme="majorBidi" w:cstheme="majorBidi"/>
          <w:sz w:val="24"/>
          <w:szCs w:val="24"/>
        </w:rPr>
        <w:t xml:space="preserve"> Südost-Forschungen 76</w:t>
      </w:r>
      <w:r w:rsidR="008A7D53">
        <w:rPr>
          <w:rFonts w:asciiTheme="majorBidi" w:hAnsiTheme="majorBidi" w:cstheme="majorBidi"/>
          <w:sz w:val="24"/>
          <w:szCs w:val="24"/>
        </w:rPr>
        <w:t xml:space="preserve"> (2017)</w:t>
      </w:r>
      <w:r w:rsidRPr="00386ABB">
        <w:rPr>
          <w:rFonts w:asciiTheme="majorBidi" w:hAnsiTheme="majorBidi" w:cstheme="majorBidi"/>
          <w:sz w:val="24"/>
          <w:szCs w:val="24"/>
        </w:rPr>
        <w:t>, 433–436.</w:t>
      </w:r>
    </w:p>
    <w:p w:rsidR="00386ABB" w:rsidRPr="00386ABB" w:rsidRDefault="00F53F1C" w:rsidP="0012553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J. Herrin</w:t>
      </w:r>
      <w:r w:rsidR="00386ABB" w:rsidRPr="00386ABB">
        <w:rPr>
          <w:rFonts w:asciiTheme="majorBidi" w:hAnsiTheme="majorBidi" w:cstheme="majorBidi"/>
          <w:sz w:val="24"/>
          <w:szCs w:val="24"/>
        </w:rPr>
        <w:t>, Byzanz</w:t>
      </w:r>
      <w:r w:rsidR="008A7D53">
        <w:rPr>
          <w:rFonts w:asciiTheme="majorBidi" w:hAnsiTheme="majorBidi" w:cstheme="majorBidi"/>
          <w:sz w:val="24"/>
          <w:szCs w:val="24"/>
        </w:rPr>
        <w:t>:</w:t>
      </w:r>
      <w:r w:rsidR="00386ABB" w:rsidRPr="00386ABB">
        <w:rPr>
          <w:rFonts w:asciiTheme="majorBidi" w:hAnsiTheme="majorBidi" w:cstheme="majorBidi"/>
          <w:sz w:val="24"/>
          <w:szCs w:val="24"/>
        </w:rPr>
        <w:t xml:space="preserve"> Die erstaunliche Geschichte ei</w:t>
      </w:r>
      <w:r w:rsidR="008A7D53">
        <w:rPr>
          <w:rFonts w:asciiTheme="majorBidi" w:hAnsiTheme="majorBidi" w:cstheme="majorBidi"/>
          <w:sz w:val="24"/>
          <w:szCs w:val="24"/>
        </w:rPr>
        <w:t>nes mittelalterlichen Imperiums,</w:t>
      </w:r>
      <w:r w:rsidR="00386ABB" w:rsidRPr="00386ABB">
        <w:rPr>
          <w:rFonts w:asciiTheme="majorBidi" w:hAnsiTheme="majorBidi" w:cstheme="majorBidi"/>
          <w:sz w:val="24"/>
          <w:szCs w:val="24"/>
        </w:rPr>
        <w:t xml:space="preserve"> Stuttgart 2013</w:t>
      </w:r>
      <w:r w:rsidR="008A7D53">
        <w:rPr>
          <w:rFonts w:asciiTheme="majorBidi" w:hAnsiTheme="majorBidi" w:cstheme="majorBidi"/>
          <w:sz w:val="24"/>
          <w:szCs w:val="24"/>
        </w:rPr>
        <w:t>, in:</w:t>
      </w:r>
      <w:r w:rsidR="00386ABB" w:rsidRPr="00386ABB">
        <w:rPr>
          <w:rFonts w:asciiTheme="majorBidi" w:hAnsiTheme="majorBidi" w:cstheme="majorBidi"/>
          <w:sz w:val="24"/>
          <w:szCs w:val="24"/>
        </w:rPr>
        <w:t xml:space="preserve"> Das Mittelalter 21</w:t>
      </w:r>
      <w:r w:rsidR="008A7D53">
        <w:rPr>
          <w:rFonts w:asciiTheme="majorBidi" w:hAnsiTheme="majorBidi" w:cstheme="majorBidi"/>
          <w:sz w:val="24"/>
          <w:szCs w:val="24"/>
        </w:rPr>
        <w:t xml:space="preserve"> (2016)</w:t>
      </w:r>
      <w:r w:rsidR="00386ABB" w:rsidRPr="00386ABB">
        <w:rPr>
          <w:rFonts w:asciiTheme="majorBidi" w:hAnsiTheme="majorBidi" w:cstheme="majorBidi"/>
          <w:sz w:val="24"/>
          <w:szCs w:val="24"/>
        </w:rPr>
        <w:t>, 207–209.</w:t>
      </w:r>
    </w:p>
    <w:p w:rsidR="00386ABB" w:rsidRPr="00125538" w:rsidRDefault="008A7D53" w:rsidP="0012553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A. Beihammer, St. Constantinou, M. Parani</w:t>
      </w:r>
      <w:r w:rsidRPr="00386AB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(eds.), </w:t>
      </w:r>
      <w:r w:rsidR="00386ABB" w:rsidRPr="00386ABB">
        <w:rPr>
          <w:rFonts w:asciiTheme="majorBidi" w:hAnsiTheme="majorBidi" w:cstheme="majorBidi"/>
          <w:sz w:val="24"/>
          <w:szCs w:val="24"/>
        </w:rPr>
        <w:t>Court Ceremonies and Rituals of Power in Byzantium and the Medieval Mediterranean</w:t>
      </w:r>
      <w:r>
        <w:rPr>
          <w:rFonts w:asciiTheme="majorBidi" w:hAnsiTheme="majorBidi" w:cstheme="majorBidi"/>
          <w:sz w:val="24"/>
          <w:szCs w:val="24"/>
        </w:rPr>
        <w:t>:</w:t>
      </w:r>
      <w:r w:rsidR="00386ABB" w:rsidRPr="00386ABB">
        <w:rPr>
          <w:rFonts w:asciiTheme="majorBidi" w:hAnsiTheme="majorBidi" w:cstheme="majorBidi"/>
          <w:sz w:val="24"/>
          <w:szCs w:val="24"/>
        </w:rPr>
        <w:t xml:space="preserve"> Comparative Perspectives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 w:rsidR="00386ABB" w:rsidRPr="00386ABB">
        <w:rPr>
          <w:rFonts w:asciiTheme="majorBidi" w:hAnsiTheme="majorBidi" w:cstheme="majorBidi"/>
          <w:sz w:val="24"/>
          <w:szCs w:val="24"/>
        </w:rPr>
        <w:t>The Medieval Mediterranean, 98</w:t>
      </w:r>
      <w:r>
        <w:rPr>
          <w:rFonts w:asciiTheme="majorBidi" w:hAnsiTheme="majorBidi" w:cstheme="majorBidi"/>
          <w:sz w:val="24"/>
          <w:szCs w:val="24"/>
        </w:rPr>
        <w:t>),</w:t>
      </w:r>
      <w:r w:rsidR="00386ABB" w:rsidRPr="00386ABB">
        <w:rPr>
          <w:rFonts w:asciiTheme="majorBidi" w:hAnsiTheme="majorBidi" w:cstheme="majorBidi"/>
          <w:sz w:val="24"/>
          <w:szCs w:val="24"/>
        </w:rPr>
        <w:t xml:space="preserve"> Leiden</w:t>
      </w:r>
      <w:r>
        <w:rPr>
          <w:rFonts w:asciiTheme="majorBidi" w:hAnsiTheme="majorBidi" w:cstheme="majorBidi"/>
          <w:sz w:val="24"/>
          <w:szCs w:val="24"/>
        </w:rPr>
        <w:t>/</w:t>
      </w:r>
      <w:r w:rsidR="00386ABB" w:rsidRPr="00386ABB">
        <w:rPr>
          <w:rFonts w:asciiTheme="majorBidi" w:hAnsiTheme="majorBidi" w:cstheme="majorBidi"/>
          <w:sz w:val="24"/>
          <w:szCs w:val="24"/>
        </w:rPr>
        <w:t>Boston 2013</w:t>
      </w:r>
      <w:r>
        <w:rPr>
          <w:rFonts w:asciiTheme="majorBidi" w:hAnsiTheme="majorBidi" w:cstheme="majorBidi"/>
          <w:sz w:val="24"/>
          <w:szCs w:val="24"/>
        </w:rPr>
        <w:t>, in:</w:t>
      </w:r>
      <w:r w:rsidR="00386ABB" w:rsidRPr="00386ABB">
        <w:rPr>
          <w:rFonts w:asciiTheme="majorBidi" w:hAnsiTheme="majorBidi" w:cstheme="majorBidi"/>
          <w:sz w:val="24"/>
          <w:szCs w:val="24"/>
        </w:rPr>
        <w:t xml:space="preserve"> Zeitschrift für Historische Forschung 43</w:t>
      </w:r>
      <w:r>
        <w:rPr>
          <w:rFonts w:asciiTheme="majorBidi" w:hAnsiTheme="majorBidi" w:cstheme="majorBidi"/>
          <w:sz w:val="24"/>
          <w:szCs w:val="24"/>
        </w:rPr>
        <w:t xml:space="preserve"> (2016)</w:t>
      </w:r>
      <w:r w:rsidR="00386ABB" w:rsidRPr="00386ABB">
        <w:rPr>
          <w:rFonts w:asciiTheme="majorBidi" w:hAnsiTheme="majorBidi" w:cstheme="majorBidi"/>
          <w:sz w:val="24"/>
          <w:szCs w:val="24"/>
        </w:rPr>
        <w:t>, 528–530.</w:t>
      </w:r>
    </w:p>
    <w:sectPr w:rsidR="00386ABB" w:rsidRPr="001255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D2"/>
    <w:rsid w:val="000832EE"/>
    <w:rsid w:val="00125538"/>
    <w:rsid w:val="00154E55"/>
    <w:rsid w:val="00206C3D"/>
    <w:rsid w:val="002154B4"/>
    <w:rsid w:val="002163DF"/>
    <w:rsid w:val="00270B23"/>
    <w:rsid w:val="00290F8D"/>
    <w:rsid w:val="002C0F1E"/>
    <w:rsid w:val="002F6DFD"/>
    <w:rsid w:val="003342AB"/>
    <w:rsid w:val="00345995"/>
    <w:rsid w:val="003677F9"/>
    <w:rsid w:val="0038309A"/>
    <w:rsid w:val="00386ABB"/>
    <w:rsid w:val="003D0E87"/>
    <w:rsid w:val="004114F6"/>
    <w:rsid w:val="00433CAB"/>
    <w:rsid w:val="00466581"/>
    <w:rsid w:val="00475420"/>
    <w:rsid w:val="004A0559"/>
    <w:rsid w:val="004A2357"/>
    <w:rsid w:val="004D664A"/>
    <w:rsid w:val="004E4CDC"/>
    <w:rsid w:val="00560567"/>
    <w:rsid w:val="00626B37"/>
    <w:rsid w:val="006452F0"/>
    <w:rsid w:val="006B4511"/>
    <w:rsid w:val="006D2276"/>
    <w:rsid w:val="006D7930"/>
    <w:rsid w:val="006F3C5A"/>
    <w:rsid w:val="007409BB"/>
    <w:rsid w:val="007A3BD2"/>
    <w:rsid w:val="007B2496"/>
    <w:rsid w:val="00820D1B"/>
    <w:rsid w:val="008604E0"/>
    <w:rsid w:val="008A7D53"/>
    <w:rsid w:val="008E6312"/>
    <w:rsid w:val="008F37BF"/>
    <w:rsid w:val="009327A7"/>
    <w:rsid w:val="009E7E69"/>
    <w:rsid w:val="009F39A0"/>
    <w:rsid w:val="00A0171B"/>
    <w:rsid w:val="00A168F1"/>
    <w:rsid w:val="00A336D1"/>
    <w:rsid w:val="00A82E3D"/>
    <w:rsid w:val="00AA3E87"/>
    <w:rsid w:val="00AB6AEC"/>
    <w:rsid w:val="00B111BD"/>
    <w:rsid w:val="00B83E2E"/>
    <w:rsid w:val="00BE6B14"/>
    <w:rsid w:val="00C169B9"/>
    <w:rsid w:val="00C66AB4"/>
    <w:rsid w:val="00C85585"/>
    <w:rsid w:val="00CA72BB"/>
    <w:rsid w:val="00CB1323"/>
    <w:rsid w:val="00D406DB"/>
    <w:rsid w:val="00DE769D"/>
    <w:rsid w:val="00DF6844"/>
    <w:rsid w:val="00E01C8E"/>
    <w:rsid w:val="00E53C41"/>
    <w:rsid w:val="00F53F1C"/>
    <w:rsid w:val="00F54163"/>
    <w:rsid w:val="00F624A4"/>
    <w:rsid w:val="00F666C2"/>
    <w:rsid w:val="00FB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64DD3"/>
  <w15:chartTrackingRefBased/>
  <w15:docId w15:val="{5CB1F113-1F2A-4A67-AEEA-5D32BF9CD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154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3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462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53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143/BYZ.82.0.21741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2298/ZRVI1350493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588/propylaeum.65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i.org/10.1515/9783111070315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oi.org/10.2307/jj.30522624" TargetMode="External"/><Relationship Id="rId9" Type="http://schemas.openxmlformats.org/officeDocument/2006/relationships/hyperlink" Target="https://doi.org/10.17879/byzrev-2025-9128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926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Leibniz-Rechenzentrum</Company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Vucetic, Martin</dc:creator>
  <cp:keywords/>
  <dc:description/>
  <cp:lastModifiedBy>Vucetic, Martin</cp:lastModifiedBy>
  <cp:revision>10</cp:revision>
  <cp:lastPrinted>2026-02-27T09:14:00Z</cp:lastPrinted>
  <dcterms:created xsi:type="dcterms:W3CDTF">2026-10-12T07:16:00Z</dcterms:created>
  <dcterms:modified xsi:type="dcterms:W3CDTF">2026-10-12T07:39:00Z</dcterms:modified>
</cp:coreProperties>
</file>